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B Nazanin" w:cs="B Nazanin" w:eastAsia="B Nazanin" w:hAnsi="B Nazanin"/>
          <w:b/>
          <w:bCs/>
          <w:color w:val="1e3a5f"/>
          <w:sz w:val="44"/>
          <w:szCs w:val="44"/>
          <w:rtl/>
        </w:rPr>
        <w:t xml:space="preserve">فصل اول</w:t>
      </w:r>
    </w:p>
    <w:p>
      <w:pPr>
        <w:bidi/>
        <w:spacing w:after="480"/>
        <w:jc w:val="center"/>
      </w:pPr>
      <w:r>
        <w:rPr>
          <w:rFonts w:ascii="B Nazanin" w:cs="B Nazanin" w:eastAsia="B Nazanin" w:hAnsi="B Nazanin"/>
          <w:b/>
          <w:bCs/>
          <w:color w:val="1a1a1a"/>
          <w:sz w:val="40"/>
          <w:szCs w:val="40"/>
          <w:rtl/>
        </w:rPr>
        <w:t xml:space="preserve">کلیات پژوهش</w:t>
      </w:r>
    </w:p>
    <w:p>
      <w:pPr>
        <w:bidi/>
        <w:spacing w:after="120"/>
        <w:jc w:val="center"/>
      </w:pPr>
      <w:r>
        <w:rPr>
          <w:rFonts w:ascii="B Nazanin" w:cs="B Nazanin" w:eastAsia="B Nazanin" w:hAnsi="B Nazanin"/>
          <w:i/>
          <w:iCs/>
          <w:color w:val="555555"/>
          <w:sz w:val="24"/>
          <w:szCs w:val="24"/>
          <w:rtl/>
        </w:rPr>
        <w:t xml:space="preserve">مدیریت سبد سرمایه‌گذاری از طریق روش اختیار خرید پوشش‌داده‌شده با استفاده از یادگیری عمیق</w:t>
      </w:r>
    </w:p>
    <w:p>
      <w:pPr>
        <w:bidi/>
        <w:spacing w:after="100"/>
        <w:jc w:val="center"/>
      </w:pPr>
      <w:r>
        <w:rPr>
          <w:rFonts w:ascii="B Nazanin" w:cs="B Nazanin" w:eastAsia="B Nazanin" w:hAnsi="B Nazanin"/>
          <w:color w:val="555555"/>
          <w:sz w:val="22"/>
          <w:szCs w:val="22"/>
          <w:rtl/>
        </w:rPr>
        <w:t xml:space="preserve">مطالعه‌ی موردی: بورس اوراق بهادار تهران</w:t>
      </w:r>
    </w:p>
    <w:p>
      <w:r>
        <w:br w:type="page"/>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۱-۱ — مقدمه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سرمایه‌گذاری در بازارهای سهام همواره با مبادله‌ی میانِ بازده و ریسک همراه بوده است. در کنارِ راهبردهای سنتیِ خرید-و-نگهداری (Buy &amp; Hold)، بازارهای مشتقه ابزارهایی فراهم کرده‌اند که سرمایه‌گذار بتواند این مبادله را به‌طورِ فعال مدیریت کند. یکی از شناخته‌شده‌ترین این ابزارها، </w:t>
      </w:r>
      <w:r>
        <w:rPr>
          <w:rFonts w:ascii="B Nazanin" w:cs="B Nazanin" w:eastAsia="B Nazanin" w:hAnsi="B Nazanin"/>
          <w:b/>
          <w:bCs/>
          <w:i w:val="false"/>
          <w:iCs w:val="false"/>
          <w:color w:val="1a1a1a"/>
          <w:sz w:val="26"/>
          <w:szCs w:val="26"/>
          <w:rtl/>
        </w:rPr>
        <w:t xml:space="preserve">استراتژیِ اختیارِ خریدِ پوشش‌داده‌شده</w:t>
      </w:r>
      <w:r>
        <w:rPr>
          <w:rFonts w:ascii="B Nazanin" w:cs="B Nazanin" w:eastAsia="B Nazanin" w:hAnsi="B Nazanin"/>
          <w:b w:val="false"/>
          <w:bCs w:val="false"/>
          <w:i w:val="false"/>
          <w:iCs w:val="false"/>
          <w:color w:val="1a1a1a"/>
          <w:sz w:val="26"/>
          <w:szCs w:val="26"/>
          <w:rtl/>
        </w:rPr>
        <w:t xml:space="preserve"> (Covered Call) است: نگه‌داشتنِ سهامِ پایه در کنارِ فروشِ یک اختیارِ خرید بر همان سهم، که درآمدِ پرمیوم را در ازایِ محدودکردنِ سقفِ سود به سرمایه‌گذار می‌دهد. اثربخشیِ این استراتژی به‌شدت به کیفیتِ دو تصمیم وابسته است: </w:t>
      </w:r>
      <w:r>
        <w:rPr>
          <w:rFonts w:ascii="B Nazanin" w:cs="B Nazanin" w:eastAsia="B Nazanin" w:hAnsi="B Nazanin"/>
          <w:b w:val="false"/>
          <w:bCs w:val="false"/>
          <w:i/>
          <w:iCs/>
          <w:color w:val="1a1a1a"/>
          <w:sz w:val="26"/>
          <w:szCs w:val="26"/>
          <w:rtl/>
        </w:rPr>
        <w:t xml:space="preserve">کِی</w:t>
      </w:r>
      <w:r>
        <w:rPr>
          <w:rFonts w:ascii="B Nazanin" w:cs="B Nazanin" w:eastAsia="B Nazanin" w:hAnsi="B Nazanin"/>
          <w:b w:val="false"/>
          <w:bCs w:val="false"/>
          <w:i w:val="false"/>
          <w:iCs w:val="false"/>
          <w:color w:val="1a1a1a"/>
          <w:sz w:val="26"/>
          <w:szCs w:val="26"/>
          <w:rtl/>
        </w:rPr>
        <w:t xml:space="preserve"> باید کال فروخته شود (که به پیش‌بینیِ درستِ جهتِ حرکتِ قیمت بازمی‌گردد) و </w:t>
      </w:r>
      <w:r>
        <w:rPr>
          <w:rFonts w:ascii="B Nazanin" w:cs="B Nazanin" w:eastAsia="B Nazanin" w:hAnsi="B Nazanin"/>
          <w:b w:val="false"/>
          <w:bCs w:val="false"/>
          <w:i/>
          <w:iCs/>
          <w:color w:val="1a1a1a"/>
          <w:sz w:val="26"/>
          <w:szCs w:val="26"/>
          <w:rtl/>
        </w:rPr>
        <w:t xml:space="preserve">با چه قیمتی</w:t>
      </w:r>
      <w:r>
        <w:rPr>
          <w:rFonts w:ascii="B Nazanin" w:cs="B Nazanin" w:eastAsia="B Nazanin" w:hAnsi="B Nazanin"/>
          <w:b w:val="false"/>
          <w:bCs w:val="false"/>
          <w:i w:val="false"/>
          <w:iCs w:val="false"/>
          <w:color w:val="1a1a1a"/>
          <w:sz w:val="26"/>
          <w:szCs w:val="26"/>
          <w:rtl/>
        </w:rPr>
        <w:t xml:space="preserve"> (که به قیمت‌گذاریِ منصفانه‌ی آپشن بازمی‌گردد). ظهورِ روش‌های یادگیریِ ماشین و یادگیریِ عمیق در دهه‌ی اخیر، ابزارهایی برای بهبودِ تصمیمِ نخست — پیش‌بینیِ جهتِ قیمت — فراهم کرده که پیش از این در دسترس نبودند.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با این‌حال، به‌کارگیریِ این ابزارها در بازارهای نوظهور — و به‌طورِ خاص بورسِ اوراق بهادارِ تهران — با چالش‌های متمایزی روبه‌رو است: دامنه‌ی نوسانِ روزانه‌ی محدود، رویدادهای شرکتیِ مکرر و پرنوسان (افزایشِ سرمایه)، و بی‌ثباتیِ ارزیِ زمینه‌ای که رفتارِ قیمتی را از بازارهای توسعه‌یافته متمایز می‌کند. افزون بر این، ادبیاتِ روش‌شناختیِ اخیر (López de Prado, 2018؛ Bailey et al., 2014؛ Zhang et al., 2026) به‌طورِ فزاینده‌ای نشان داده که بسیاری از ادعاهای موفقیتِ یادگیریِ ماشین در پیش‌بینیِ مالی، ناشی از </w:t>
      </w:r>
      <w:r>
        <w:rPr>
          <w:rFonts w:ascii="B Nazanin" w:cs="B Nazanin" w:eastAsia="B Nazanin" w:hAnsi="B Nazanin"/>
          <w:b/>
          <w:bCs/>
          <w:i w:val="false"/>
          <w:iCs w:val="false"/>
          <w:color w:val="1a1a1a"/>
          <w:sz w:val="26"/>
          <w:szCs w:val="26"/>
          <w:rtl/>
        </w:rPr>
        <w:t xml:space="preserve">نشتِ اطلاعات (Data Leakage)</w:t>
      </w:r>
      <w:r>
        <w:rPr>
          <w:rFonts w:ascii="B Nazanin" w:cs="B Nazanin" w:eastAsia="B Nazanin" w:hAnsi="B Nazanin"/>
          <w:b w:val="false"/>
          <w:bCs w:val="false"/>
          <w:i w:val="false"/>
          <w:iCs w:val="false"/>
          <w:color w:val="1a1a1a"/>
          <w:sz w:val="26"/>
          <w:szCs w:val="26"/>
          <w:rtl/>
        </w:rPr>
        <w:t xml:space="preserve"> یا </w:t>
      </w:r>
      <w:r>
        <w:rPr>
          <w:rFonts w:ascii="B Nazanin" w:cs="B Nazanin" w:eastAsia="B Nazanin" w:hAnsi="B Nazanin"/>
          <w:b/>
          <w:bCs/>
          <w:i w:val="false"/>
          <w:iCs w:val="false"/>
          <w:color w:val="1a1a1a"/>
          <w:sz w:val="26"/>
          <w:szCs w:val="26"/>
          <w:rtl/>
        </w:rPr>
        <w:t xml:space="preserve">بیش‌برازشِ بک‌تست (Backtest Overfitting)</w:t>
      </w:r>
      <w:r>
        <w:rPr>
          <w:rFonts w:ascii="B Nazanin" w:cs="B Nazanin" w:eastAsia="B Nazanin" w:hAnsi="B Nazanin"/>
          <w:b w:val="false"/>
          <w:bCs w:val="false"/>
          <w:i w:val="false"/>
          <w:iCs w:val="false"/>
          <w:color w:val="1a1a1a"/>
          <w:sz w:val="26"/>
          <w:szCs w:val="26"/>
          <w:rtl/>
        </w:rPr>
        <w:t xml:space="preserve"> است، نه مهارتِ واقعیِ مدل. این پژوهش دقیقاً در تقاطعِ این دو موضوع قرار می‌گیرد: طراحیِ یک سامانه‌ی یادگیریِ ماشینِ صادقانه (Leakage-Free) برایِ پشتیبانی از تصمیمِ اجرایِ استراتژیِ Covered Call روی نمادهای بورسِ تهران، و اثباتِ کمّیِ اهمیتِ این صداقتِ روش‌شناختی.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۱-۲ — بیانِ مسئله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مسئله‌ی این پژوهش را می‌توان در سه پرسشِ به‌هم‌پیوسته خلاصه کرد. نخست، آیا مدل‌های یادگیریِ ماشین و یادگیریِ عمیق قادرند جهتِ حرکتِ کوتاه‌مدت/میان‌مدتِ قیمتِ سهام در بورسِ اوراق بهادارِ تهران را — با رعایتِ کاملِ اصلِ علّیت و بدونِ هیچ‌گونه نشتِ اطلاعات — با مهارتی بهتر از حدسِ تصادفی پیش‌بینی کنند؟ دوم، در صورتِ پاسخِ مثبت، آیا این مهارتِ پیش‌بینی، وقتی به یک استراتژیِ معاملاتیِ واقع‌گرایانه (اختیارِ خریدِ پوشش‌داده‌شده، با گیت‌های اقتصادیِ مبتنی بر قیمت‌گذاریِ بلک-شولز) متصل شود، به ارزش‌آفرینیِ مالیِ قابلِ‌سنجش نسبت به راهبردِ ساده‌ی خرید-و-نگهداری منجر می‌شود؟ سوم، و از همه مهم‌تر از منظرِ روش‌شناختی، چه مقدار از هر ادعای موفقیتی که بدونِ کنترلِ دقیقِ نشتِ اطلاعات گزارش شود، می‌تواند صرفاً یک توهمِ آماری باشد — و چگونه می‌توان این مقدار را به‌طورِ کمّی نشان داد، نه صرفاً به آن استناد کرد؟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پرسش‌ها در بسترِ یک شکافِ پژوهشیِ مشخص مطرح می‌شوند: بخشِ عمده‌ی ادبیاتِ موجود در حوزه‌ی پیش‌بینیِ قیمتِ سهام با یادگیریِ ماشین یا بر بازارهای توسعه‌یافته (آمریکا، اروپا، چین) متمرکز است (Dong &amp; Liang, 2025؛ Cho &amp; Kim, 2025)، یا در صورتِ تمرکز بر بورسِ تهران، صرفاً به پیش‌بینیِ عددیِ قیمت یا شاخص بسنده می‌کند بدونِ اتصالِ آن به یک استراتژیِ معاملاتیِ عملی (Mostafaienia et al., 2025؛ Tajik Gholami &amp; Shahabi, 2025). هم‌زمان، پژوهش‌های موجود درباره‌ی استراتژیِ Covered Call مبتنی بر یادگیریِ ماشین (Ngwaba, 2025) عمدتاً به بازارِ آمریکا و ETFهای شناخته‌شده محدودند و هیچ‌کدام آزمونِ کنترلیِ صریحی برایِ سنجشِ اثرِ نشتِ اطلاعات ارائه نمی‌دهند.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۱-۳ — اهمیت و ضرورتِ پژوهش</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از منظرِ کاربردی، سرمایه‌گذارانِ فردی و نهادیِ فعال در بورسِ تهران فاقدِ ابزاری داده‌محور و اعتبارسنجی‌شده برایِ تصمیمِ فروشِ اختیارِ خرید بر سهامِ خود هستند؛ این پژوهش یک نمونه‌ی کاملِ چنین ابزاری — از مهندسیِ فیچر تا اجرایِ استراتژی — ارائه می‌دهد.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از منظرِ روش‌شناختی، پژوهش‌های پیش‌بینیِ مالی به‌طورِ گسترده از مسئله‌ی نشتِ اطلاعات رنج می‌برند، اما کمتر پژوهشی این اثر را به‌طورِ کمّی و با یک گروهِ کنترلِ صریح اندازه می‌گیرد؛ این پژوهش با معرفیِ چارچوبِ HONEST/FRAUD این خلأ را پر می‌کند.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از منظرِ بازارِ نوظهور، بورسِ تهران با ویژگی‌های ساختاریِ متمایز (دامنه‌ی نوسانِ محدود، بی‌ثباتیِ ارزی) بستری است که یافته‌های آن می‌تواند به بازارهای نوظهورِ مشابه در سایرِ کشورها تعمیم یابد — موضوعی که در ادبیاتِ بین‌المللی کمتر پوشش داده شده است.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از منظرِ آموزشی، تفکیکِ صریحِ یک مسیرِ «صحیح» از یک مسیرِ «دارایِ نشتِ عمدی» در همین پژوهش، ابزاری ملموس برایِ آموزشِ خطرِ نشتِ داده به پژوهشگرانِ تازه‌کارِ این حوزه فراهم می‌کند.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۱-۴ — اهدافِ پژوهش</w:t>
      </w:r>
    </w:p>
    <w:p>
      <w:pPr>
        <w:pStyle w:val="Heading2"/>
        <w:bidi/>
        <w:spacing w:after="180" w:before="360"/>
        <w:jc w:val="right"/>
      </w:pPr>
      <w:r>
        <w:rPr>
          <w:rFonts w:ascii="B Nazanin" w:cs="B Nazanin" w:eastAsia="B Nazanin" w:hAnsi="B Nazanin"/>
          <w:b/>
          <w:bCs/>
          <w:color w:val="1e3a5f"/>
          <w:sz w:val="30"/>
          <w:szCs w:val="30"/>
          <w:rtl/>
        </w:rPr>
        <w:t xml:space="preserve">۱-۴-۱ هدفِ کلی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طراحی، پیاده‌سازی و اعتبارسنجیِ صادقانه‌ی یک سامانه‌ی یادگیریِ ماشین برایِ پشتیبانی از تصمیمِ اجرایِ استراتژیِ اختیارِ خریدِ پوشش‌داده‌شده روی نمادهای منتخبِ بورسِ اوراق بهادارِ تهران، به‌همراهِ اثباتِ کمّیِ اهمیتِ صداقتِ روش‌شناختی در گزارشِ نتایج.</w:t>
      </w:r>
    </w:p>
    <w:p>
      <w:pPr>
        <w:pStyle w:val="Heading2"/>
        <w:bidi/>
        <w:spacing w:after="180" w:before="360"/>
        <w:jc w:val="right"/>
      </w:pPr>
      <w:r>
        <w:rPr>
          <w:rFonts w:ascii="B Nazanin" w:cs="B Nazanin" w:eastAsia="B Nazanin" w:hAnsi="B Nazanin"/>
          <w:b/>
          <w:bCs/>
          <w:color w:val="1e3a5f"/>
          <w:sz w:val="30"/>
          <w:szCs w:val="30"/>
          <w:rtl/>
        </w:rPr>
        <w:t xml:space="preserve">۱-۴-۲ اهدافِ جزئی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طراحیِ یک خطِ لوله‌ی مهندسیِ فیچر با بیش از صد فیچرِ کاملاً علّی از چهار خانواده (فیچرهای پایه‌ی تکنیکال، فیچرهای مختصِ بورسِ تهران، فیچرهای پیشرفته، و یک فیچرِ کلانِ اقتصادی).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طراحی و اجرایِ یک تورنمنتِ نُه‌مدلی (از مدل‌های درختیِ گرادیان‌بوستینگ تا شبکه‌های عصبیِ دنباله‌ای) با بهینه‌سازیِ بیزیِ ابرپارامتر برایِ هر مدل و هر نماد.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طراحیِ یک روشِ تفکیکِ داده و اعتبارسنجیِ غلتانِ زمانیِ کاملاً بدونِ نشتِ اطلاعات، به‌همراهِ یک مکانیزمِ ایمنیِ خودکار برایِ خنثی‌سازیِ نتایجِ خوش‌شانس/بیش‌برازش‌شده.</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طراحیِ یک موتورِ بک‌تستِ مالیِ واقع‌گرایانه که تصمیماتِ معاملاتی را بر پایه‌ی گیت‌های اقتصادیِ مبتنی بر قیمت‌گذاریِ بلک-شولز اتخاذ کند، نه صرفاً خروجیِ خامِ مدل.</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طراحی و اجرایِ یک چارچوبِ کنترلیِ HONEST/FRAUD برایِ اندازه‌گیریِ کمّیِ هزینه‌ی نشتِ اطلاعات بر معیارهای طبقه‌بندی و مالی.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تحلیلِ اهمیتِ فیچرها با روشِ SHAP و بهینه‌سازیِ نهاییِ پرتفوی بر پایه‌ی چارچوبِ مارکویتز.</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۱-۵ — پرسش‌های پژوهش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8300"/>
      </w:tblGrid>
      <w:tr>
        <w:trPr>
          <w:cantSplit/>
          <w:tblHeader/>
        </w:trPr>
        <w:tc>
          <w:tcPr>
            <w:tcW w:type="dxa" w:w="7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ردیف</w:t>
            </w:r>
          </w:p>
        </w:tc>
        <w:tc>
          <w:tcPr>
            <w:tcW w:type="dxa" w:w="83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پرسشِ پژوهش</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w:t>
            </w:r>
          </w:p>
        </w:tc>
        <w:tc>
          <w:tcPr>
            <w:tcW w:type="dxa" w:w="8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آیا مدل‌های یادگیریِ ماشین می‌توانند جهتِ حرکتِ قیمتِ سهام در بورسِ تهران را، با رعایتِ کاملِ اصلِ علّیت، بهتر از حدسِ تصادفی پیش‌بینی کنند؟</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w:t>
            </w:r>
          </w:p>
        </w:tc>
        <w:tc>
          <w:tcPr>
            <w:tcW w:type="dxa" w:w="8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آیا افزودنِ یک فیچرِ کلانِ اقتصادی (نرخِ دلارِ آزاد) به فیچرهای مبتنی بر قیمت/حجم، ارزشِ پیش‌بینی‌کننده اضافه می‌کند؟</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w:t>
            </w:r>
          </w:p>
        </w:tc>
        <w:tc>
          <w:tcPr>
            <w:tcW w:type="dxa" w:w="8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آیا افزودنِ یک مدلِ نهم (شبکه‌ی ترکیبیِ CNN-LSTM) به تورنمنتِ مدل‌های موجود، عملکردِ کلیِ سامانه را بهبود می‌بخشد؟</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w:t>
            </w:r>
          </w:p>
        </w:tc>
        <w:tc>
          <w:tcPr>
            <w:tcW w:type="dxa" w:w="83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آیا استراتژیِ اختیارِ خریدِ پوشش‌داده‌شده، وقتی بر پایه‌ی خروجیِ این سامانه اجرا شود، ارزشِ افزوده‌ای نسبت به راهبردِ خرید-و-نگهداری ایجاد می‌کند؟</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w:t>
            </w:r>
          </w:p>
        </w:tc>
        <w:tc>
          <w:tcPr>
            <w:tcW w:type="dxa" w:w="83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نشتِ اطلاعات چه مقدار معیارهای طبقه‌بندی و مالیِ گزارش‌شده را — به‌طورِ کمّی و قابلِ‌اندازه‌گیری — مخدوش می‌کند؟</w:t>
            </w:r>
          </w:p>
        </w:tc>
      </w:tr>
    </w:tbl>
    <w:p>
      <w:pPr>
        <w:bidi/>
        <w:spacing w:after="320" w:before="100"/>
        <w:jc w:val="center"/>
      </w:pPr>
      <w:r>
        <w:rPr>
          <w:rFonts w:ascii="B Nazanin" w:cs="B Nazanin" w:eastAsia="B Nazanin" w:hAnsi="B Nazanin"/>
          <w:i/>
          <w:iCs/>
          <w:color w:val="555555"/>
          <w:sz w:val="22"/>
          <w:szCs w:val="22"/>
          <w:rtl/>
        </w:rPr>
        <w:t xml:space="preserve">جدول 1. پرسش‌های پنج‌گانۀ اصلیِ پژوهش</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۱-۶ — روشِ پژوهش (خلاصه)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پژوهش از نظرِ هدف، کاربردی و از نظرِ روش، تجربی-محاسباتی (Computational/Empirical) است؛ داده‌های واقعیِ قیمتیِ شش نماد از بورسِ اوراق بهادارِ تهران — از پنج صنعتِ متفاوت — از منبعِ رسمیِ مدیریتِ فناوریِ بورسِ تهران (TSETMC) جمع‌آوری و پس از پاکسازی و تعدیلِ رویدادهای شرکتی، به یک خطِ لوله‌ی یازده‌مرحله‌ای شاملِ مهندسیِ فیچر، تورنمنتِ نُه‌مدلی، اعتبارسنجیِ غلتانِ زمانی، و موتورِ بک‌تست وارد شده‌اند. جزئیاتِ کاملِ معماری در فصلِ سوم و جزئیاتِ کاملِ تنظیماتِ آزمایش (نسخه‌ی نرم‌افزار، ابرپارامترها، فرضیاتِ مالی) در فصلِ چهارم ارائه می‌شود.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۱-۷ — قلمروِ پژوهش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rPr>
          <w:cantSplit/>
          <w:tblHeader/>
        </w:trPr>
        <w:tc>
          <w:tcPr>
            <w:tcW w:type="dxa" w:w="18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بُعد</w:t>
            </w:r>
          </w:p>
        </w:tc>
        <w:tc>
          <w:tcPr>
            <w:tcW w:type="dxa" w:w="72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9"/>
                <w:szCs w:val="19"/>
                <w:rtl/>
              </w:rPr>
              <w:t xml:space="preserve">توضیح</w:t>
            </w:r>
          </w:p>
        </w:tc>
      </w:tr>
      <w:tr>
        <w:trPr>
          <w:cantSplit/>
          <w:tblHeader w:val="false"/>
        </w:trPr>
        <w:tc>
          <w:tcPr>
            <w:tcW w:type="dxa" w:w="1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قلمروِ موضوعی</w:t>
            </w:r>
          </w:p>
        </w:tc>
        <w:tc>
          <w:tcPr>
            <w:tcW w:type="dxa" w:w="72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پیش‌بینیِ جهتِ قیمتِ سهام با یادگیریِ ماشین/عمیق و اجرایِ استراتژیِ اختیارِ خریدِ پوشش‌داده‌شده</w:t>
            </w:r>
          </w:p>
        </w:tc>
      </w:tr>
      <w:tr>
        <w:trPr>
          <w:cantSplit/>
          <w:tblHeader w:val="false"/>
        </w:trPr>
        <w:tc>
          <w:tcPr>
            <w:tcW w:type="dxa" w:w="1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قلمروِ مکانی</w:t>
            </w:r>
          </w:p>
        </w:tc>
        <w:tc>
          <w:tcPr>
            <w:tcW w:type="dxa" w:w="72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بورسِ اوراق بهادارِ تهران؛ شش نماد از صنایعِ فلزاتِ اساسی، خودرو، پتروشیمی، سرمایه‌گذاری و بانکداری</w:t>
            </w:r>
          </w:p>
        </w:tc>
      </w:tr>
      <w:tr>
        <w:trPr>
          <w:cantSplit/>
          <w:tblHeader w:val="false"/>
        </w:trPr>
        <w:tc>
          <w:tcPr>
            <w:tcW w:type="dxa" w:w="1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قلمروِ زمانیِ داده</w:t>
            </w:r>
          </w:p>
        </w:tc>
        <w:tc>
          <w:tcPr>
            <w:tcW w:type="dxa" w:w="72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از ابتدایِ سالِ ۱۳۹۳ (۲۰۱۵ میلادی) تا میانه‌ی دهه‌ی ۱۴۰۰؛ مجموعه‌ی آزمونِ کاملاً خارج‌از‌نمونه حدودِ یک‌سال‌ونیمِ پایانی</w:t>
            </w:r>
          </w:p>
        </w:tc>
      </w:tr>
    </w:tbl>
    <w:p>
      <w:pPr>
        <w:bidi/>
        <w:spacing w:after="320" w:before="100"/>
        <w:jc w:val="center"/>
      </w:pPr>
      <w:r>
        <w:rPr>
          <w:rFonts w:ascii="B Nazanin" w:cs="B Nazanin" w:eastAsia="B Nazanin" w:hAnsi="B Nazanin"/>
          <w:i/>
          <w:iCs/>
          <w:color w:val="555555"/>
          <w:sz w:val="22"/>
          <w:szCs w:val="22"/>
          <w:rtl/>
        </w:rPr>
        <w:t xml:space="preserve">جدول 2. قلمروِ موضوعی، مکانی و زمانیِ پژوهش</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۱-۸ — نوآوری‌های پژوهش (خلاصه)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چهار نوآوریِ اصلیِ این پژوهش — که در فصلِ پنجم با جزئیاتِ کامل بازآورده می‌شوند — عبارت‌اند از: (۱) افزودنِ فیچرِ کلانِ اقتصادیِ نرخِ دلار به‌عنوانِ تنها فیچرِ خارج از قیمت/حجمِ سهم، (۲) گسترشِ تورنمنتِ مدل‌ها به یک معماریِ ترکیبیِ CNN-LSTM، (۳) طراحیِ یک چارچوبِ کنترلیِ HONEST/FRAUD برایِ اندازه‌گیریِ کمّیِ هزینه‌ی نشتِ اطلاعات، و (۴) یک لایه‌ی مهندسیِ تاب‌آوریِ اجرا برایِ حفظِ نتایج در برابرِ وقفه‌های محاسباتی.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۱-۹ — ساختارِ پایان‌نامه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پایان‌نامه در پنج فصل سازمان‌دهی شده است. جدولِ ۳ خلاصه‌ای از محتوایِ هر فصل را ارائه می‌دهد.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5800"/>
      </w:tblGrid>
      <w:tr>
        <w:trPr>
          <w:cantSplit/>
          <w:tblHeader/>
        </w:trPr>
        <w:tc>
          <w:tcPr>
            <w:tcW w:type="dxa" w:w="7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فصل</w:t>
            </w:r>
          </w:p>
        </w:tc>
        <w:tc>
          <w:tcPr>
            <w:tcW w:type="dxa" w:w="25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عنوان</w:t>
            </w:r>
          </w:p>
        </w:tc>
        <w:tc>
          <w:tcPr>
            <w:tcW w:type="dxa" w:w="58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محتوایِ خلاصه</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۱</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کلیاتِ پژوهش</w:t>
            </w:r>
          </w:p>
        </w:tc>
        <w:tc>
          <w:tcPr>
            <w:tcW w:type="dxa" w:w="5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بیانِ مسئله، اهداف، پرسش‌ها، قلمرو و ساختارِ پایان‌نامه (فصلِ حاضر)</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۲</w:t>
            </w:r>
          </w:p>
        </w:tc>
        <w:tc>
          <w:tcPr>
            <w:tcW w:type="dxa" w:w="25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مروری بر ادبیاتِ پژوهش</w:t>
            </w:r>
          </w:p>
        </w:tc>
        <w:tc>
          <w:tcPr>
            <w:tcW w:type="dxa" w:w="5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مبانیِ نظری و پیشینه‌ی پژوهش‌های داخلی و خارجیِ مرتبط</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۳</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رویکردِ پیشنهادی و معماریِ سامانه</w:t>
            </w:r>
          </w:p>
        </w:tc>
        <w:tc>
          <w:tcPr>
            <w:tcW w:type="dxa" w:w="5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معماریِ کاملِ خطِ لوله، فرمول‌بندیِ ریاضی و منطقِ الگوریتمی (بدونِ نتیجه‌ی عددی)</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۴</w:t>
            </w:r>
          </w:p>
        </w:tc>
        <w:tc>
          <w:tcPr>
            <w:tcW w:type="dxa" w:w="25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ارزیابی و تحلیلِ نتایج</w:t>
            </w:r>
          </w:p>
        </w:tc>
        <w:tc>
          <w:tcPr>
            <w:tcW w:type="dxa" w:w="58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تنظیماتِ آزمایش، نتایجِ عددیِ کامل، تحلیل و تفسیر</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۵</w:t>
            </w:r>
          </w:p>
        </w:tc>
        <w:tc>
          <w:tcPr>
            <w:tcW w:type="dxa" w:w="25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جمع‌بندی و پیشنهادات</w:t>
            </w:r>
          </w:p>
        </w:tc>
        <w:tc>
          <w:tcPr>
            <w:tcW w:type="dxa" w:w="58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پاسخ به پرسش‌های پژوهش، سهمِ پژوهش، محدودیت‌ها و پیشنهادهایِ پژوهشِ آینده</w:t>
            </w:r>
          </w:p>
        </w:tc>
      </w:tr>
    </w:tbl>
    <w:p>
      <w:pPr>
        <w:bidi/>
        <w:spacing w:after="320" w:before="100"/>
        <w:jc w:val="center"/>
      </w:pPr>
      <w:r>
        <w:rPr>
          <w:rFonts w:ascii="B Nazanin" w:cs="B Nazanin" w:eastAsia="B Nazanin" w:hAnsi="B Nazanin"/>
          <w:i/>
          <w:iCs/>
          <w:color w:val="555555"/>
          <w:sz w:val="22"/>
          <w:szCs w:val="22"/>
          <w:rtl/>
        </w:rPr>
        <w:t xml:space="preserve">جدول 3. ساختارِ فصولِ پایان‌نامه</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۱-۱۰ — تعریفِ واژگان و اصطلاحاتِ کلیدی</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cantSplit/>
          <w:tblHeader/>
        </w:trPr>
        <w:tc>
          <w:tcPr>
            <w:tcW w:type="dxa" w:w="2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9"/>
                <w:szCs w:val="19"/>
                <w:rtl/>
              </w:rPr>
              <w:t xml:space="preserve">اصطلاح</w:t>
            </w:r>
          </w:p>
        </w:tc>
        <w:tc>
          <w:tcPr>
            <w:tcW w:type="dxa" w:w="68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9"/>
                <w:szCs w:val="19"/>
                <w:rtl/>
              </w:rPr>
              <w:t xml:space="preserve">تعریف</w:t>
            </w:r>
          </w:p>
        </w:tc>
      </w:tr>
      <w:tr>
        <w:trPr>
          <w:cantSplit/>
          <w:tblHeader w:val="false"/>
        </w:trPr>
        <w:tc>
          <w:tcPr>
            <w:tcW w:type="dxa" w:w="2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اختیارِ خریدِ پوشش‌داده‌شده (Covered Call)</w:t>
            </w:r>
          </w:p>
        </w:tc>
        <w:tc>
          <w:tcPr>
            <w:tcW w:type="dxa" w:w="68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نگه‌داشتنِ سهامِ پایه در کنارِ فروشِ یک اختیارِ خرید بر همان سهم برایِ کسبِ درآمدِ پرمیوم</w:t>
            </w:r>
          </w:p>
        </w:tc>
      </w:tr>
      <w:tr>
        <w:trPr>
          <w:cantSplit/>
          <w:tblHeader w:val="false"/>
        </w:trPr>
        <w:tc>
          <w:tcPr>
            <w:tcW w:type="dxa" w:w="2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نشتِ اطلاعات (Data Leakage)</w:t>
            </w:r>
          </w:p>
        </w:tc>
        <w:tc>
          <w:tcPr>
            <w:tcW w:type="dxa" w:w="68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استفاده — عمدی یا سهوی — از اطلاعاتِ مربوط به آینده در فرآیندِ آموزش یا اعتبارسنجیِ مدل</w:t>
            </w:r>
          </w:p>
        </w:tc>
      </w:tr>
      <w:tr>
        <w:trPr>
          <w:cantSplit/>
          <w:tblHeader w:val="false"/>
        </w:trPr>
        <w:tc>
          <w:tcPr>
            <w:tcW w:type="dxa" w:w="2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اعتبارسنجیِ غلتانِ زمانی (Walk-Forward Validation)</w:t>
            </w:r>
          </w:p>
        </w:tc>
        <w:tc>
          <w:tcPr>
            <w:tcW w:type="dxa" w:w="68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روشِ اعتبارسنجیِ چندباره که ترتیبِ زمانیِ داده را حفظ می‌کند و از نشتِ اطلاعات جلوگیری می‌کند</w:t>
            </w:r>
          </w:p>
        </w:tc>
      </w:tr>
      <w:tr>
        <w:trPr>
          <w:cantSplit/>
          <w:tblHeader w:val="false"/>
        </w:trPr>
        <w:tc>
          <w:tcPr>
            <w:tcW w:type="dxa" w:w="2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SHAP</w:t>
            </w:r>
          </w:p>
        </w:tc>
        <w:tc>
          <w:tcPr>
            <w:tcW w:type="dxa" w:w="68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روشی برایِ تفسیرِ خروجیِ مدل‌های یادگیریِ ماشین بر پایه‌ی نظریه‌ی بازی‌های همکارانه</w:t>
            </w:r>
          </w:p>
        </w:tc>
      </w:tr>
      <w:tr>
        <w:trPr>
          <w:cantSplit/>
          <w:tblHeader w:val="false"/>
        </w:trPr>
        <w:tc>
          <w:tcPr>
            <w:tcW w:type="dxa" w:w="2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AUC-ROC</w:t>
            </w:r>
          </w:p>
        </w:tc>
        <w:tc>
          <w:tcPr>
            <w:tcW w:type="dxa" w:w="68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مساحتِ زیرِ منحنیِ مشخصه‌ی عملکردِ گیرنده؛ معیارِ اصلیِ رتبه‌بندیِ کیفیتِ طبقه‌بندی در این پژوهش</w:t>
            </w:r>
          </w:p>
        </w:tc>
      </w:tr>
      <w:tr>
        <w:trPr>
          <w:cantSplit/>
          <w:tblHeader w:val="false"/>
        </w:trPr>
        <w:tc>
          <w:tcPr>
            <w:tcW w:type="dxa" w:w="2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9"/>
                <w:szCs w:val="19"/>
                <w:rtl/>
              </w:rPr>
              <w:t xml:space="preserve">HONEST / FRAUD</w:t>
            </w:r>
          </w:p>
        </w:tc>
        <w:tc>
          <w:tcPr>
            <w:tcW w:type="dxa" w:w="68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9"/>
                <w:szCs w:val="19"/>
                <w:rtl/>
              </w:rPr>
              <w:t xml:space="preserve">به‌ترتیب، خطِ لوله‌ی اصلیِ بدونِ نشت و مسیرِ کنترلیِ عمداً دارایِ نشتِ اطلاعات در این پژوهش</w:t>
            </w:r>
          </w:p>
        </w:tc>
      </w:tr>
    </w:tbl>
    <w:p>
      <w:pPr>
        <w:bidi/>
        <w:spacing w:after="320" w:before="100"/>
        <w:jc w:val="center"/>
      </w:pPr>
      <w:r>
        <w:rPr>
          <w:rFonts w:ascii="B Nazanin" w:cs="B Nazanin" w:eastAsia="B Nazanin" w:hAnsi="B Nazanin"/>
          <w:i/>
          <w:iCs/>
          <w:color w:val="555555"/>
          <w:sz w:val="22"/>
          <w:szCs w:val="22"/>
          <w:rtl/>
        </w:rPr>
        <w:t xml:space="preserve">جدول 4. واژگان و اصطلاحاتِ کلیدیِ به‌کاررفته در این پایان‌نامه</w:t>
      </w:r>
    </w:p>
    <w:sectPr>
      <w:headerReference w:type="default" r:id="rId7"/>
      <w:footerReference w:type="default" r:id="rId8"/>
      <w:pgSz w:w="11906" w:h="16838" w:orient="portrait"/>
      <w:pgMar w:top="1418" w:right="1418" w:bottom="1418" w:left="1418"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 Nazanin" w:cs="B Nazanin" w:eastAsia="B Nazanin" w:hAnsi="B Nazani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bidi/>
      <w:jc w:val="center"/>
    </w:pPr>
    <w:r>
      <w:rPr>
        <w:rFonts w:ascii="B Nazanin" w:cs="B Nazanin" w:eastAsia="B Nazanin" w:hAnsi="B Nazanin"/>
        <w:color w:val="555555"/>
        <w:sz w:val="18"/>
        <w:szCs w:val="18"/>
        <w:rtl/>
      </w:rPr>
      <w:t xml:space="preserve">فصل اول — کلیات پژوهش</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lvl w:ilvl="1" w15:tentative="1">
      <w:start w:val="1"/>
      <w:numFmt w:val="bullet"/>
      <w:lvlText w:val="◦"/>
      <w:lvlJc w:val="right"/>
      <w:pPr>
        <w:ind w:righ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 Nazanin" w:cs="B Nazanin" w:eastAsia="B Nazanin" w:hAnsi="B Nazanin"/>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2026-09-04T10:16:13.960Z</dcterms:created>
  <dcterms:modified xsi:type="dcterms:W3CDTF">2026-09-04T10:16:13.960Z</dcterms:modified>
</cp:coreProperties>
</file>

<file path=docProps/custom.xml><?xml version="1.0" encoding="utf-8"?>
<Properties xmlns="http://schemas.openxmlformats.org/officeDocument/2006/custom-properties" xmlns:vt="http://schemas.openxmlformats.org/officeDocument/2006/docPropsVTypes"/>
</file>