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دوم</w:t>
      </w:r>
    </w:p>
    <w:p>
      <w:pPr>
        <w:bidi/>
        <w:spacing w:after="480"/>
        <w:jc w:val="center"/>
      </w:pPr>
      <w:r>
        <w:rPr>
          <w:rFonts w:ascii="B Nazanin" w:cs="B Nazanin" w:eastAsia="B Nazanin" w:hAnsi="B Nazanin"/>
          <w:b/>
          <w:bCs/>
          <w:color w:val="1a1a1a"/>
          <w:sz w:val="40"/>
          <w:szCs w:val="40"/>
          <w:rtl/>
        </w:rPr>
        <w:t xml:space="preserve">مروری بر ادبیاتِ پژوهش</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فصل پیشینه‌ی نظری و تجربیِ لازم برایِ درکِ رویکردِ پیشنهادیِ این پایان‌نامه (فصلِ سوم) را فراهم می‌کند. ساختارِ این فصل حولِ مؤلفه‌های اصلیِ سامانه‌ی پیشنهادی سازمان‌دهی شده است: نخست، مبانیِ نظریِ کارایی بازار، پرتفویِ مدرن، و قیمت‌گذاریِ اختیار معامله (بخشِ ۲-۲) مرور می‌شود؛ سپس پیشینه‌ی پژوهش در یادگیریِ ماشینِ کلاسیک (۲-۳) و یادگیریِ عمیق (۲-۴) برایِ پیش‌بینیِ سری‌های زمانیِ مالی؛ پس از آن، استراتژی‌های اختیارِ خریدِ پوشش‌داده‌شده (۲-۵)، پژوهش‌های خاصِ بورسِ تهران (۲-۶)، تفسیرپذیریِ مدل (۲-۷)، چالشِ نشتِ اطلاعات و بیش‌برازشِ بک‌تست (۲-۸)، بهینه‌سازیِ ابرپارامتر (۲-۹)، و بهینه‌سازیِ پرتفویِ مبتنی بر یادگیریِ ماشین (۲-۱۰) مرور می‌شوند. جدولِ خلاصه‌ی پیشینه‌ی پژوهش (بخشِ ۲-۱۱) و جمع‌بندیِ شکافِ پژوهشی (بخشِ ۲-۱۲) فصل را به پایان می‌رساند. فهرستِ کاملِ منابعِ استفاده‌شده در انتهایِ فصل آورده شده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۲-۲ — مبانیِ نظری</w:t>
      </w:r>
    </w:p>
    <w:p>
      <w:pPr>
        <w:pStyle w:val="Heading2"/>
        <w:bidi/>
        <w:spacing w:after="180" w:before="360"/>
        <w:jc w:val="right"/>
      </w:pPr>
      <w:r>
        <w:rPr>
          <w:rFonts w:ascii="B Nazanin" w:cs="B Nazanin" w:eastAsia="B Nazanin" w:hAnsi="B Nazanin"/>
          <w:b/>
          <w:bCs/>
          <w:color w:val="1e3a5f"/>
          <w:sz w:val="30"/>
          <w:szCs w:val="30"/>
          <w:rtl/>
        </w:rPr>
        <w:t xml:space="preserve">۲-۲-۱ فرضیه‌ی بازارِ کارا و فرضیه‌ی بازارهایِ تطبیقی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نقطه‌ی آغازِ نظریِ هر پژوهشِ پیش‌بینیِ قیمتِ سهام، فرضیه‌ی بازارِ کارا (Efficient Market Hypothesis) است که توسطِ فاما (Fama, 1970) صورت‌بندیِ کلاسیکِ خود را یافت: در یک بازارِ کارا، قیمت‌ها به‌طورِ کامل بازتاب‌دهنده‌ی اطلاعاتِ در دسترس هستند و بنابراین پیش‌بینیِ سیستماتیکِ حرکاتِ آتیِ قیمت — تنها بر پایه‌ی اطلاعاتِ عمومیِ گذشته — نباید ممکن باشد. این فرضیه، اگر به‌طورِ کامل درست باشد، هرگونه تلاش برایِ پیش‌بینیِ جهتِ قیمت با یادگیریِ ماشین را از پیش محکوم به شکست می‌کند. با این‌حال، شواهدِ تجربیِ گسترده — از جمله وجودِ الگوهای مومنتوم و بازگشت‌به‌میانگین — نشان داده‌اند که کاراییِ بازار مطلق نیست، به‌ویژه در بازارهایِ نوظهور با نقدشوندگیِ پایین‌تر و پوششِ تحلیلیِ محدودتر.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پاسخِ نظریِ متأخرتر به این تناقض، فرضیه‌ی بازارهایِ تطبیقی (Adaptive Markets Hypothesis) اثرِ لو (Lo, 2004) است که کارایی را نه یک وضعیتِ ثابت، بلکه محصولِ رقابتِ تکاملیِ میانِ استراتژی‌های مختلف در یک محیطِ درحال‌تغییر می‌داند؛ طبقِ این دیدگاه، فرصت‌های پیش‌بینی‌پذیریِ کوچک و ناپایدار می‌توانند به‌طورِ موقت وجود داشته باشند تا زمانی که رقابت آن‌ها را از میان ببرد. این چارچوب مبنایِ نظریِ اصلیِ این پایان‌نامه است: انتظارِ واقع‌بینانه، نه یک مزیتِ پیش‌بینیِ بزرگ و پایدار، بلکه یک مهارتِ کوچک، آماری معنادار و به‌سرعت فرسایش‌پذیر است — دقیقاً همان چیزی که در نتایجِ فصلِ چهارم (AUC≈۵۴٪) مشاهده می‌شود.</w:t>
      </w:r>
    </w:p>
    <w:p>
      <w:pPr>
        <w:pStyle w:val="Heading2"/>
        <w:bidi/>
        <w:spacing w:after="180" w:before="360"/>
        <w:jc w:val="right"/>
      </w:pPr>
      <w:r>
        <w:rPr>
          <w:rFonts w:ascii="B Nazanin" w:cs="B Nazanin" w:eastAsia="B Nazanin" w:hAnsi="B Nazanin"/>
          <w:b/>
          <w:bCs/>
          <w:color w:val="1e3a5f"/>
          <w:sz w:val="30"/>
          <w:szCs w:val="30"/>
          <w:rtl/>
        </w:rPr>
        <w:t xml:space="preserve">۲-۲-۲ نظریه‌ی پرتفویِ مدرنِ مارکویتز</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چارچوبِ میانگین-واریانسِ مارکویتز (Markowitz, 1952) پایه‌ی نظریِ بهینه‌سازیِ پرتفوی در این پژوهش (بخشِ ۳-۱۳ و ۴-۱۱) است: به‌جایِ ارزیابیِ هر دارایی به‌طورِ مجزا، یک سرمایه‌گذارِ عقلاییِ ریسک‌گریز باید ترکیبی از دارایی‌ها را انتخاب کند که برایِ سطحِ معینی از ریسک (واریانس)، بیشترین بازدهِ موردانتظار را فراهم کند. این نظریه، با وجودِ گذشتِ بیش از هفت دهه، همچنان چارچوبِ استانداردِ بهینه‌سازیِ پرتفوی است و — همان‌طور که در بخشِ ۲-۱۰ نشان داده می‌شود — پژوهش‌های اخیر به‌طورِ فعال در حالِ تلفیقِ آن با پیش‌بینیِ بازدهیِ مبتنی بر یادگیریِ ماشین هستند.</w:t>
      </w:r>
    </w:p>
    <w:p>
      <w:pPr>
        <w:pStyle w:val="Heading2"/>
        <w:bidi/>
        <w:spacing w:after="180" w:before="360"/>
        <w:jc w:val="right"/>
      </w:pPr>
      <w:r>
        <w:rPr>
          <w:rFonts w:ascii="B Nazanin" w:cs="B Nazanin" w:eastAsia="B Nazanin" w:hAnsi="B Nazanin"/>
          <w:b/>
          <w:bCs/>
          <w:color w:val="1e3a5f"/>
          <w:sz w:val="30"/>
          <w:szCs w:val="30"/>
          <w:rtl/>
        </w:rPr>
        <w:t xml:space="preserve">۲-۲-۳ مدلِ قیمت‌گذاریِ بلک-شولز و استراتژیِ اختیارِ خریدِ پوشش‌داده‌شده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مدلِ بلک-شولز (Black &amp; Scholes, 1973) اولین چارچوبِ تحلیلیِ کاملِ قیمت‌گذاریِ اختیارِ معامله را ارائه داد و همچنان مبنایِ محاسبه‌ی پرمیومِ منصفانه در این پژوهش (بخشِ ۳-۱۲-۱) است. استراتژیِ اختیارِ خریدِ پوشش‌داده‌شده — نگه‌داشتنِ سهامِ پایه در کنارِ فروشِ یک اختیارِ خرید بر همان سهم — یکی از قدیمی‌ترین و پرکاربردترین راهبردهایِ درآمدزاییِ آپشن‌محور است. ولی (Whaley, 2002) با تحلیلِ عملکردِ تاریخیِ شاخصِ BXM (CBOE S&amp;P 500 BuyWrite Index) نشان داد این استراتژی، در بلندمدت، نوسان‌پذیریِ به‌مراتب کمتری نسبت به شاخصِ پایه با بازدهیِ تعدیل‌شده‌ی قابلِ‌مقایسه ارائه می‌دهد — یافته‌ای که انگیزه‌ی اصلیِ به‌کارگیریِ این استراتژی در این پژوهش است. پژوهش‌های اخیرتر این تحلیل را به بسترِ یادگیریِ ماشین گسترش داده‌اند: نگواب (Ngwaba, 2025) با آزمودنِ مدل‌های سری‌زمانی، یادگیریِ ماشین و یادگیریِ عمیق برایِ پیش‌بینیِ عملکردِ ETFهای Covered Call شناخته‌شده (QYLD، XYLD، JEPI، JEPQ، RYLD) نشان داد مدل‌های یادگیریِ عمیق در شناساییِ الگوهایِ غیرِخطی و وابستگی‌های زمانیِ این ابزارها برتریِ محسوسی نسبت به روش‌های سری‌زمانیِ سنتی دارند — یافته‌ای که مستقیماً انگیزه‌ی به‌کارگیریِ شبکه‌های عصبیِ دنباله‌ای در این پژوهش را تقویت می‌کند.</w:t>
      </w:r>
    </w:p>
    <w:p>
      <w:pPr>
        <w:pStyle w:val="Heading2"/>
        <w:bidi/>
        <w:spacing w:after="180" w:before="360"/>
        <w:jc w:val="right"/>
      </w:pPr>
      <w:r>
        <w:rPr>
          <w:rFonts w:ascii="B Nazanin" w:cs="B Nazanin" w:eastAsia="B Nazanin" w:hAnsi="B Nazanin"/>
          <w:b/>
          <w:bCs/>
          <w:color w:val="1e3a5f"/>
          <w:sz w:val="30"/>
          <w:szCs w:val="30"/>
          <w:rtl/>
        </w:rPr>
        <w:t xml:space="preserve">۲-۲-۴ معیارهایِ عملکردِ ریسک‌تعدیل‌شده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ارزیابیِ عملکردِ یک استراتژیِ معاملاتی صرفاً بر پایه‌ی بازدهیِ خام گمراه‌کننده است، چرا که ریسکِ به‌کاررفته برایِ کسبِ آن بازده را نادیده می‌گیرد. نسبتِ شارپ، به‌عنوانِ استانداردِ رایج، بازدهیِ مازاد بر نرخِ بدونِ‌ریسک را بر نوسانِ کلِ بازدهی تقسیم می‌کند؛ اما سورتینو و پرایس (Sortino &amp; Price, 1994) استدلال کردند که سرمایه‌گذاران عمدتاً از نوسانِ سمتِ نزولی نگران‌اند، نه نوسانِ سمتِ صعودی، و بنابراین نسبتِ سورتینو — که تنها انحرافِ زیرِ یک آستانه‌ی هدف را در مخرج لحاظ می‌کند — ارزیابیِ منصفانه‌تری از استراتژی‌هایِ نامتقارن (مانندِ Covered Call، که سقفِ سود دارد ولی کفِ زیانِ کامل ندارد) به‌دست می‌دهد. این چارچوب مستقیماً در تحلیلِ ریسک‌تعدیل‌شده‌ی فصلِ چهارم (بخشِ ۴-۶-۳) به‌کار رفته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۲-۳ — یادگیریِ ماشینِ کلاسیک برایِ پیش‌بینیِ قیمتِ سهام</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مدل‌های درختیِ گروهی (Ensemble Tree-based Models) به‌دلیلِ توانِ بالا در یادگیریِ روابطِ غیرِخطیِ داده‌های جدولی، بدونِ نیاز به مهندسیِ فیچرِ عمیق، به یکی از پرکاربردترین خانواده‌های مدل در پیش‌بینیِ مالی تبدیل شده‌اند. جنگلِ تصادفی (Random Forest) اثرِ بریمن (Breiman, 2001) — که مجموعه‌ای از درخت‌های تصمیمِ مستقل را از طریقِ نمونه‌گیریِ بوت‌استرپ و زیرمجموعه‌ی تصادفیِ فیچرها می‌سازد — همچنان یک خطِ مبنایِ محکم و مقاوم به بیش‌برازش است. گرادیان‌بوستینگِ درختی، به‌عنوانِ تکاملِ بعدی، از طریقِ سه پیاده‌سازیِ اصلی به بلوغ رسیده است: XGBoost اثرِ چن و گسترین (Chen &amp; Guestrin, 2016) که با افزودنِ یک جمله‌ی منظم‌سازیِ صریح به تابعِ هدف، مقاومتِ بالاتری در برابرِ بیش‌برازش ارائه می‌دهد؛ LightGBM اثرِ که و همکاران (Ke et al., 2017) که با تکنیک‌هایِ نمونه‌گیریِ یک‌طرفه‌ی گرادیان (GOSS) و بسته‌بندیِ فیچرهایِ انحصاری (EFB) سرعتِ آموزش را به‌طورِ چشمگیر افزایش می‌دهد؛ و CatBoost اثرِ پروخورنکووا و همکاران (Prokhorenkova et al., 2018) که با معرفیِ بوستینگِ ترتیبی (Ordered Boosting) از یک نوعِ خاصِ نشتِ هدف در پردازشِ فیچرهایِ دسته‌ای جلوگیری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کاربردهایِ اخیر، لیو (Liu, 2024) با معرفیِ یک مدلِ XGBoost چندهدفه با وزن‌دهیِ بهینه، تعادلِ میانِ بازده و ریسکِ سبدِ سرمایه‌گذاری را برایِ داده‌های بازارِ سهامِ چین بهبود داد و نشان داد رویکردهایِ چندهدفه می‌توانند فراتر از دقتِ صرفِ پیش‌بینی، مستقیماً بر کیفیتِ تصمیمِ سرمایه‌گذاری اثر بگذارند. این پژوهش نیز — با ترکیبِ چهار مدلِ درختیِ گرادیان‌بوستینگ/جنگلِ تصادفی در تورنمنتِ نُه‌مدلیِ خود (بخشِ ۳-۷) — از همین خانواده به‌عنوانِ ستونِ فقراتِ عملیِ سامانه بهره می‌برد، دقیقاً به این دلیل که این مدل‌ها، طبقِ ادبیاتِ رایج، برایِ مجموعه‌داده‌هایِ جدولیِ با اندازه‌ی متوسط (نظیرِ آنچه در این پژوهش برایِ هر نماد در دسترس است) گزینه‌ی عملیِ برتر محسوب می‌شوند.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۲-۴ — یادگیریِ عمیق برایِ سری‌های زمانیِ مالی</w:t>
      </w:r>
    </w:p>
    <w:p>
      <w:pPr>
        <w:pStyle w:val="Heading2"/>
        <w:bidi/>
        <w:spacing w:after="180" w:before="360"/>
        <w:jc w:val="right"/>
      </w:pPr>
      <w:r>
        <w:rPr>
          <w:rFonts w:ascii="B Nazanin" w:cs="B Nazanin" w:eastAsia="B Nazanin" w:hAnsi="B Nazanin"/>
          <w:b/>
          <w:bCs/>
          <w:color w:val="1e3a5f"/>
          <w:sz w:val="30"/>
          <w:szCs w:val="30"/>
          <w:rtl/>
        </w:rPr>
        <w:t xml:space="preserve">۲-۴-۱ شبکه‌های حافظه‌ی کوتاه‌مدتِ بلندمدت (LSTM)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شبکه‌های عصبیِ بازگشتیِ استاندارد در یادگیریِ وابستگی‌هایِ بلندمدت با مشکلِ محوشدگیِ گرادیان روبه‌رو هستند. هوخرایتر و اشمیدهوبر (Hochreiter &amp; Schmidhuber, 1997) با معرفیِ معماریِ LSTM — که از طریقِ دروازه‌های فراموشی، ورودی و خروجی، جریانِ اطلاعات را در طولِ زمان کنترل می‌کند — این مشکل را حل کردند و LSTM از آن پس به معماریِ غالب برایِ مدل‌سازیِ سری‌های زمانیِ مالی تبدیل شده است؛ در بخشِ ۳-۸-۱ این پژوهش، همین معماری با افزودنِ یک لایه‌ی توجهِ افزایشی (بخشِ ۲-۴-۳) تکمیل شده است.</w:t>
      </w:r>
    </w:p>
    <w:p>
      <w:pPr>
        <w:pStyle w:val="Heading2"/>
        <w:bidi/>
        <w:spacing w:after="180" w:before="360"/>
        <w:jc w:val="right"/>
      </w:pPr>
      <w:r>
        <w:rPr>
          <w:rFonts w:ascii="B Nazanin" w:cs="B Nazanin" w:eastAsia="B Nazanin" w:hAnsi="B Nazanin"/>
          <w:b/>
          <w:bCs/>
          <w:color w:val="1e3a5f"/>
          <w:sz w:val="30"/>
          <w:szCs w:val="30"/>
          <w:rtl/>
        </w:rPr>
        <w:t xml:space="preserve">۲-۴-۲ معماری‌های ترکیبیِ CNN-LSTM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از آن‌جا که LSTM به‌تنهایی الگوهایِ محلیِ کوتاه‌مدت (مانندِ الگوهایِ چند-روزه‌ی کندل‌استیک) را به‌طورِ صریح استخراج نمی‌کند، پیاده‌سازیِ لایه‌ی کانولوشنِ یک‌بعدی پیش از LSTM — با هدفِ استخراجِ خودکارِ این الگوهایِ محلی پیش از عبور از حافظه‌ی بلندمدت — به یک الگویِ رایج تبدیل شده است. دونگ و لیانگ (Dong &amp; Liang, 2025) این ایده را با معرفیِ معماریِ CNN-LSTM-GNN گسترش دادند: در این مدل، لایه‌ی کانولوشن الگوهایِ محلی و لایه‌ی LSTM الگویِ کلیِ توالی را استخراج می‌کنند، درحالی‌که یک لایه‌ی شبکه‌ی عصبیِ گرافی (GNN) روابطِ میانِ چند سهم را نیز مدل‌سازی می‌کند؛ نتایجِ آن‌ها روی شاخصِ CSI بازارِ چین نشان داد این ترکیبِ سه‌گانه از معماری‌های تک‌بخشی برتر است. این پژوهش نیز، در بخشِ ۳-۸-۲، دقیقاً از همین منطق (کانولوشنِ علّی پیش از LSTM) برایِ ساختِ مدلِ نهمِ تورنمنت بهره برده است — با این تفاوت که، برخلافِ یافته‌ی مثبتِ دونگ و لیانگ روی داده‌ی بازارِ چین، نتیجه‌ی این پژوهش روی شش نمادِ بورسِ تهران </w:t>
      </w:r>
      <w:r>
        <w:rPr>
          <w:rFonts w:ascii="B Nazanin" w:cs="B Nazanin" w:eastAsia="B Nazanin" w:hAnsi="B Nazanin"/>
          <w:b/>
          <w:bCs/>
          <w:i w:val="false"/>
          <w:iCs w:val="false"/>
          <w:color w:val="1a1a1a"/>
          <w:sz w:val="26"/>
          <w:szCs w:val="26"/>
          <w:rtl/>
        </w:rPr>
        <w:t xml:space="preserve">مبهم/منفی</w:t>
      </w:r>
      <w:r>
        <w:rPr>
          <w:rFonts w:ascii="B Nazanin" w:cs="B Nazanin" w:eastAsia="B Nazanin" w:hAnsi="B Nazanin"/>
          <w:b w:val="false"/>
          <w:bCs w:val="false"/>
          <w:i w:val="false"/>
          <w:iCs w:val="false"/>
          <w:color w:val="1a1a1a"/>
          <w:sz w:val="26"/>
          <w:szCs w:val="26"/>
          <w:rtl/>
        </w:rPr>
        <w:t xml:space="preserve"> بود (بخشِ ۴-۴)؛ تفاوتی که احتمالاً از تفاوتِ بودجه‌ی محاسباتی و حجمِ داده ناشی می‌شود، نه از نادرستیِ ذاتیِ معماری.</w:t>
      </w:r>
    </w:p>
    <w:p>
      <w:pPr>
        <w:pStyle w:val="Heading2"/>
        <w:bidi/>
        <w:spacing w:after="180" w:before="360"/>
        <w:jc w:val="right"/>
      </w:pPr>
      <w:r>
        <w:rPr>
          <w:rFonts w:ascii="B Nazanin" w:cs="B Nazanin" w:eastAsia="B Nazanin" w:hAnsi="B Nazanin"/>
          <w:b/>
          <w:bCs/>
          <w:color w:val="1e3a5f"/>
          <w:sz w:val="30"/>
          <w:szCs w:val="30"/>
          <w:rtl/>
        </w:rPr>
        <w:t xml:space="preserve">۲-۴-۳ مکانیزمِ توجه و ترنسفورمرها</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معماریِ ترنسفورمر (Vaswani et al., 2017) با معرفیِ مکانیزمِ خودتوجهیِ چندسر (Multi-Head Self-Attention)، امکانِ مدل‌سازیِ وابستگی‌های بلندبردِ یک توالی را بدونِ محدودیتِ پردازشِ ترتیبیِ RNN فراهم کرد و به‌سرعت به معماریِ غالب در پردازشِ زبانِ طبیعی و سپس سری‌های زمانی تبدیل شد. در حوزه‌ی مالی، چن و همکاران (Chen et al., 2025) با معرفیِ EMAT (Enhanced Multi-Aspect Attention Transformer) یک مکانیزمِ توجهِ چندجنبه‌ای طراحی کردند که هم‌زمان الگوهایِ تضعیفِ زمانی، پویاییِ روند و نوسان‌پذیری را لحاظ می‌کند و نشان دادند این معماری از انواعِ بازگشتی، ترکیبی و ترنسفورمرِ استاندارد برتر است. با این‌حال، این پژوهش عمداً از معماریِ سبک‌ترِ LSTM+Attention (توجهِ افزایشی روی خروجیِ LSTM، نه یک ترنسفورمرِ کامل) استفاده کرده است — تصمیمی که با محدودیتِ محیطِ محاسباتیِ تنها-CPU این پژوهش (بخشِ ۴-۲-۲) سازگار است و در بخشِ ۵-۶-۲ به‌عنوانِ مسیرِ پژوهشِ آینده (ارزیابیِ ترنسفورمرهای کامل‌تر) مجدداً مطرح می‌شود.</w:t>
      </w:r>
    </w:p>
    <w:p>
      <w:pPr>
        <w:pStyle w:val="Heading2"/>
        <w:bidi/>
        <w:spacing w:after="180" w:before="360"/>
        <w:jc w:val="right"/>
      </w:pPr>
      <w:r>
        <w:rPr>
          <w:rFonts w:ascii="B Nazanin" w:cs="B Nazanin" w:eastAsia="B Nazanin" w:hAnsi="B Nazanin"/>
          <w:b/>
          <w:bCs/>
          <w:color w:val="1e3a5f"/>
          <w:sz w:val="30"/>
          <w:szCs w:val="30"/>
          <w:rtl/>
        </w:rPr>
        <w:t xml:space="preserve">۲-۴-۴ یادگیریِ ترکیبی و روش‌های تجمعی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فراتر از تک‌تکِ معماری‌ها، ترکیبِ چند مدل از طریقِ Stacking یا Voting می‌تواند واریانسِ پیش‌بینی را کاهش دهد. کیت و اسماعیل (Kayit &amp; Ismail, 2025) با آزمودنِ مدل‌های تجمعیِ ترکیبی (گرادیان‌بوستینگ، درختِ تصمیم، شبکه‌ی عصبی و رگرسیونِ بیزیِ Ridge) روی شش بازارِ جهانیِ عمده (S&amp;P 500، NASDAQ، DAX، FTSE، Nikkei 225، Hang Seng) نشان دادند رویکردِ Stacking به‌طورِ سازگار خطایِ پایین‌تری نسبت به مدل‌های منفرد و حتی Voting دارد — یافته‌ای که مستقیماً معماریِ یادگیریِ ترکیبیِ دوسطحیِ این پژوهش (بخشِ ۳-۱۰) را توجیه می‌کند، هرچند این پژوهش، برخلافِ اتکایِ صرف به Stacking، یک مکانیزمِ ایمنیِ میانگینِ رتبه‌ای (Rank-Average) را نیز به‌عنوانِ پشتیبانِ محافظه‌کارانه حفظ کرده است (بخشِ ۳-۱۱).</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۲-۵ — پژوهش‌های انجام‌شده در بورسِ اوراق بهادارِ تهران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پیشینه‌ی پژوهشیِ خاصِ بورسِ تهران، هرچند نسبت به بازارهایِ توسعه‌یافته محدودتر است، در سالِ‌های اخیر رشدِ محسوسی داشته است. مصطفی‌عینیا و همکاران (Mostafaienia et al., 2025) با ترکیبِ شبکه‌های LSTM و کانولوشنِ یک‌بعدی برایِ پیش‌بینیِ قیمتِ بسته‌شدنِ روزِ بعدِ نمادهای بورسِ تهران، بر اهمیتِ تحلیلِ سطحِ-نماد (به‌جایِ تحلیلِ شاخصِ کل) و آزمونِ استحکام در برابرِ داده‌ی نویزی و ناقص تأکید کردند — رویکردی هم‌راستا با تمرکزِ سطحِ-نمادِ این پژوهش. تاجیک غلامی و شهابی (Tajik Gholami &amp; Shahabi, 2025) با مقایسه‌ی مستقیمِ LSTM، RNN و CNN با مدل‌های سنتیِ سری‌زمانی (ARIMA) برایِ پیش‌بینیِ شاخصِ کلِ قیمت و بازدهیِ نقدیِ بورسِ تهران (TEPIX)، برتریِ مدل‌های عمیق را در معیارهایِ RMSE، MAE و MSE نشان دادند.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رادفر (Radfar, 2025) در پژوهشی گسترده‌تر و انتقادی‌تر، عملکردِ معماری‌های CNN، LSTM، ترنسفورمر و ترکیبات آن‌ها را روی داده‌ی واقعیِ دوازده سهم بررسی کرد و نتیجه گرفت که بسیاری از ادعاهای موفقیتِ مطالعاتِ پیشین، هنگامی که بافتِ زمانیِ پیش‌بینی (یعنی احتمالِ نشتِ اطلاعات از طریقِ ارزیابیِ نادرست) نادیده گرفته می‌شود، به «مثبتِ کاذب» تبدیل می‌شوند و برایِ بازارِ واقعی غیرِعملی‌اند — یافته‌ای که مستقیماً با انگیزه‌ی طراحیِ چارچوبِ HONEST/FRAUD در این پژوهش (بخشِ ۳-۱۵) هم‌راستا است و اهمیتِ آن را برایِ زمینه‌ی خاصِ بورسِ تهران دوچندان می‌کند. با این‌حال، هیچ‌کدام از این سه پژوهش، پیش‌بینیِ قیمت را به یک استراتژیِ معاملاتیِ مبتنی بر آپشن (نظیرِ Covered Call) متصل نکرده‌اند — شکافی که این پایان‌نامه مستقیماً پر می‌کند.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۲-۶ — تفسیرپذیریِ مدل (SHAP/XAI) در حوزه‌ی مالی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مدل‌های یادگیریِ ماشینِ پیچیده (به‌ویژه گروهی و عمیق) اغلب به‌عنوانِ «جعبه‌ی سیاه» شناخته می‌شوند — ویژگی‌ای که در تصمیماتِ مالی، جایی که پاسخ‌گوییِ تصمیم اهمیت دارد، مشکل‌ساز است. لاندبرگ و لی (Lundberg &amp; Lee, 2017) با معرفیِ SHAP (SHapley Additive exPlanations) — که بر پایه‌ی نظریه‌ی بازی‌های همکارانه‌ی شپلی بنا شده — چارچوبی یکپارچه و مبتنی بر اصولِ بدیهی برایِ تجزیه‌ی خروجیِ هر مدل به سهمِ افزودنیِ هر فیچر ارائه دادند؛ این روش، به‌دلیلِ سازگاری با هر نوع مدل (Model-Agnostic)، به استانداردِ عملیِ تفسیرِ مدل‌های درختی تبدیل شده است — همان‌طور که در بخشِ ۴-۷ این پژوهش نیز برایِ تحلیلِ اهمیتِ فیچرها به‌کار رفته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کاربردی به‌روزتر، گوسوامی و الدین (Goswami &amp; Uddin, 2026) با بازبینیِ ۱۶۶ پیشرانِ شناخته‌شده‌ی بازدهیِ سهام از طریقِ SHAP، نشان دادند فیچرهایِ مبتنی بر مومنتوم و حجمِ معاملات، به‌طورِ سازگار قدرتِ پیش‌بینی‌کنندگیِ بالاتری نسبت به بسیاری از پیشران‌های بنیادیِ سنتی دارند — یافته‌ای که با غلبه‌ی فیچرهایِ روندی/حجمی (sma50، vpt) در نتایجِ SHAP این پژوهش (بخشِ ۴-۷) هم‌راستا است. مهم‌تر، مقاله‌ی آن‌ها بر یک نکته‌ی روش‌شناختیِ ظریف تأکید می‌کند: کیفیت و صحتِ تفسیرِ SHAP به انتخابِ دقیقِ نمایشِ فیچر و مهندسیِ داده حساس است — هشداری که مستقیماً ضرورتِ رعایتِ اصلِ علّیت در محاسبه‌ی فیچرها (بخشِ ۳-۴) را توجیه می‌کند: یک فیچرِ نشت‌دار می‌تواند تفسیرِ SHAP را نیز، دقیقاً مانندِ خودِ پیش‌بینی، گمراه‌کننده سازد.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۲-۷ — اعتبارسنجی، نشتِ اطلاعات و بیش‌برازشِ بک‌تست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شاید مهم‌ترین محورِ نظریِ این پایان‌نامه، ادبیاتِ نوظهورِ نقدِ روش‌شناختیِ یادگیریِ ماشینِ مالی باشد. لوپز د پرادو (López de Prado, 2018)، در اثرِ مرجعِ خود، به‌طورِ نظام‌مند نشان داد که روش‌هایِ استانداردِ اعتبارسنجیِ متقاطع (k-fold) — که فرضِ استقلالِ نمونه‌ها را دارند — برایِ داده‌ی سری‌زمانیِ مالی نامناسب‌اند، چرا که برچسب‌های همپوشان (Overlapping Labels) نشتِ اطلاعات ایجاد می‌کنند؛ راه‌حلِ پیشنهادیِ او، تفکیکِ زمانیِ حذفِ آموزنده (Purged Cross-Validation)، مستقیماً مبنایِ روشِ تفکیکِ داده‌ی این پژوهش (بخشِ ۳-۶) است. پیش از آن، بیلی و همکاران (Bailey et al., 2014) مفهومِ احتمالِ بیش‌برازشِ بک‌تست (Probability of Backtest Overfitting) را معرفی کرده بودند: نشان دادند هرچه تعدادِ استراتژی‌های آزموده‌شده روی یک مجموعه‌داده‌ی ثابت بیشتر باشد، احتمالِ آنکه بهترینِ آن‌ها صرفاً محصولِ شانس باشد (نه مهارتِ واقعی) به‌طورِ نمایی افزایش می‌یابد — هشداری که مستقیماً توجیه‌کننده‌ی نیازِ این پژوهش به اعتبارسنجیِ غلتانِ زمانیِ مستقل، فراتر از یک تفکیکِ ثابتِ Train/Val/Test است (بخشِ ۳-۱۱).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پژوهشی مستقیم‌تر و بسیار به‌روز، آریان، نوروزی و سکو (Arian et al., 2025) با ساختِ یک محیطِ کنترل‌شده‌ی مصنوعی، روش‌های مختلفِ آزمونِ برون‌نمونه‌ای — از جمله Walk-Forward و Combinatorial Purged Cross-Validation (CPCV) — را مقایسه کردند و نشان دادند CPCV، هرچند از نظرِ محاسباتی سنگین‌تر، در کاهشِ ریسکِ بیش‌برازش برتریِ نظری دارد؛ اما نتیجه‌گیریِ عملیِ آن‌ها این بود که Walk-Forward، به‌دلیلِ شبیه‌سازیِ واقع‌بینانه‌ترِ شرایطِ معاملاتیِ زنده، همچنان استانداردِ صنعتی باقی می‌ماند — انتخابی که این پژوهش نیز (به‌دلیلِ بودجه‌ی محاسباتیِ محدود، بخشِ ۴-۲-۲) دنبال کرده است. تازه‌ترین و شاید مرتبط‌ترین پژوهش به چارچوبِ HONEST/FRAUD این پایان‌نامه، اثرِ ژانگ و همکاران (Zhang et al., 2026) است: آن‌ها با معرفیِ «When Alpha Disappears» — یک معیارِ سنجشِ زوجی برایِ تشخیصِ نشتِ زمانِ‌تصمیم — نشان دادند </w:t>
      </w:r>
      <w:r>
        <w:rPr>
          <w:rFonts w:ascii="B Nazanin" w:cs="B Nazanin" w:eastAsia="B Nazanin" w:hAnsi="B Nazanin"/>
          <w:b/>
          <w:bCs/>
          <w:i w:val="false"/>
          <w:iCs w:val="false"/>
          <w:color w:val="1a1a1a"/>
          <w:sz w:val="26"/>
          <w:szCs w:val="26"/>
          <w:rtl/>
        </w:rPr>
        <w:t xml:space="preserve">دقیقاً همان الگویِ فیچرِ متمرکزِ زمانی (Centered Temporal Features)</w:t>
      </w:r>
      <w:r>
        <w:rPr>
          <w:rFonts w:ascii="B Nazanin" w:cs="B Nazanin" w:eastAsia="B Nazanin" w:hAnsi="B Nazanin"/>
          <w:b w:val="false"/>
          <w:bCs w:val="false"/>
          <w:i w:val="false"/>
          <w:iCs w:val="false"/>
          <w:color w:val="1a1a1a"/>
          <w:sz w:val="26"/>
          <w:szCs w:val="26"/>
          <w:rtl/>
        </w:rPr>
        <w:t xml:space="preserve"> که این پایان‌نامه به‌عنوانِ مکانیزمِ نشتِ عمدیِ مسیرِ FRAUD به‌کار برده (بخشِ ۳-۱۵؛ میانگینِ متحرکِ مرکزی با rolling(center=True))، در میانِ رایج‌ترین و قوی‌ترین منابعِ تورمِ مصنوعیِ معیارهایِ عملکرد در ادبیاتِ یادگیریِ ماشینِ مالی است — همگرایی‌ای که اعتبارِ طراحیِ این پژوهش را از یک منبعِ کاملاً مستقل و هم‌زمان تأیید می‌کند.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۲-۸ — بهینه‌سازیِ بیزیِ ابرپارامتر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انتخابِ دستیِ ابرپارامترها برایِ نُه مدل و شش نماد در این پژوهش عملی نیست؛ بهینه‌سازیِ بیزی، با ساختِ یک مدلِ احتمالاتیِ جانشین (Surrogate Model) از رابطه‌ی میانِ ابرپارامترها و عملکرد، جست‌وجو را نسبت به روش‌های شبکه‌ای یا تصادفی به‌طورِ چشمگیر کارآمدتر می‌کند. آکیبا و همکاران (Akiba et al., 2019) با معرفیِ Optuna — که از الگوریتمِ برآوردگرِ پارزنِ ساختاریافته‌ی درختی (TPE) استفاده می‌کند و امکانِ هَرَس‌کردنِ زودهنگامِ trialهایِ ناامیدکننده را فراهم می‌آورد — این چارچوب را به یکی از پرکاربردترین ابزارهایِ بهینه‌سازیِ ابرپارامتر در صنعت و پژوهش تبدیل کردند؛ همین چارچوب مستقیماً برایِ تنظیمِ هر نُه مدلِ این پژوهش (بخشِ ۳-۹-۱) به‌کار رفته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۲-۹ — بهینه‌سازیِ پرتفوی با یادگیریِ ماشین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پژوهش‌های اخیر به‌طورِ فعال درحالِ تلفیقِ پیش‌بینیِ یادگیریِ ماشین با چارچوبِ کلاسیکِ مارکویتز هستند. در پژوهشی با ترکیبِ نویسندگانِ برجسته‌ی این حوزه، لوپز د پرادو، سیمونیان، فابوزی و فابوزی (López de Prado et al., 2025) نشان دادند یادگیریِ ماشین می‌تواند مراحلِ مختلفِ فرآیندِ پرتفوی‌سازی — از تولیدِ آلفا تا مدیریتِ ریسک و بهینه‌سازیِ معیارهایِ مبتنی بر ارزشِ در معرضِ ریسکِ شرطی (CVaR) — را تقویت کند، بدونِ آنکه اصولِ بنیادینِ میانگین-واریانس را کنار بگذارد. اسلوسارچیک و اسلپاچوک (Ślusarczyk &amp; Ślepaczuk, 2025) این سؤال را به‌طورِ تجربی آزمودند: آیا استفاده از بازدهیِ پیش‌بینی‌شده (به‌جایِ بازدهیِ تاریخی) در پرتفویِ میانگین-واریانس نتیجه را بهبود می‌بخشد؟ با آزمودنِ مدل‌های ARIMA-GARCH و XGBoost روی سهامِ شاخصِ DJIA، نشان دادند پاسخ به این پرسش به مدلِ پیش‌بینیِ انتخابی وابسته است — نه یک قانونِ مطلق.</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چو و کیم (Cho &amp; Kim, 2025) با معرفیِ یک چارچوبِ بلک-لیترمنِ نوین، عدمِ‌قطعیتِ بازدهیِ پیش‌بینی‌شده را بر اساسِ یک سنجه‌ی بلادرنگِ کاراییِ بازار (AMIM) تعدیل کردند — افزایشِ عدمِ‌قطعیت هنگامِ کاراییِ بالا و کاهشِ آن هنگامِ کاراییِ پایین — و نشان دادند این رویکرد در هر دو بازارِ صعودی و نزولی عملکردِ بهتری نسبت به رویکردهایِ دومرحله‌ایِ سنتی دارد. این خطِ پژوهشی به‌طورِ مستقیم انگیزه‌ی روشِ بهینه‌سازیِ پرتفویِ این پایان‌نامه (بخشِ ۳-۱۳) را تقویت می‌کند — هرچند این پژوهش، به‌دلیلِ محدودیتِ حجمِ نمونه (شش نماد)، از یک مدلِ سه‌سناریوییِ ساده‌تر (Max-Sharpe، Min-Variance، Equal-Weight) به‌جایِ تعدیلِ پویایِ عدمِ‌قطعیت استفاده کرده و این گسترش را به‌عنوانِ مسیرِ پژوهشِ آینده (بخشِ ۵-۶-۲) مطرح کرده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۲-۱۰ — جمع‌بندیِ جدولیِ پیشینه‌ی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۴ چهارده مطالعه‌ی کلیدیِ مرورشده در این فصل را — به‌همراهِ روش/موضوع و یافته‌ی اصلیِ هرکدام — به‌طورِ خلاصه و مقایسه‌ای گرد هم می‌آورد.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2600"/>
        <w:gridCol w:w="3300"/>
      </w:tblGrid>
      <w:tr>
        <w:trPr>
          <w:cantSplit/>
          <w:tblHeader/>
        </w:trPr>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ردیف</w:t>
            </w:r>
          </w:p>
        </w:tc>
        <w:tc>
          <w:tcPr>
            <w:tcW w:type="dxa" w:w="24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6"/>
                <w:szCs w:val="16"/>
                <w:rtl/>
              </w:rPr>
              <w:t xml:space="preserve">پژوهشگر(ان) و سال</w:t>
            </w:r>
          </w:p>
        </w:tc>
        <w:tc>
          <w:tcPr>
            <w:tcW w:type="dxa" w:w="26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6"/>
                <w:szCs w:val="16"/>
                <w:rtl/>
              </w:rPr>
              <w:t xml:space="preserve">روش/موضوع</w:t>
            </w:r>
          </w:p>
        </w:tc>
        <w:tc>
          <w:tcPr>
            <w:tcW w:type="dxa" w:w="33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6"/>
                <w:szCs w:val="16"/>
                <w:rtl/>
              </w:rPr>
              <w:t xml:space="preserve">یافته‌ی کلیدی</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Markowitz (1952)</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بهینه‌سازیِ میانگین-واریانس</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پایه‌گذاریِ چارچوبِ ریاضیِ انتخابِ پرتفویِ بهینه</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Black &amp; Scholes (1973)</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قیمت‌گذاریِ اختیارِ معامله</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فرمولِ تحلیلیِ قیمت‌گذاریِ منصفانه‌ی آپشن</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Whaley (2002)</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عملکردِ شاخصِ BXM</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نوسان‌پذیریِ کمترِ Covered Call با بازدهیِ تعدیل‌شده‌ی قابلِ‌مقایسه</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Hochreiter &amp; Schmidhuber (1997)</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معماریِ LSTM</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حلِ مسئله‌ی محوشدگیِ گرادیان در توالی‌هایِ بلند</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Chen &amp; Guestrin (2016)؛ Ke et al. (2017)</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XGBoost؛ LightGBM</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گرادیان‌بوستینگِ مقیاس‌پذیر و کارآمد برایِ داده‌ی جدولی</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Lundberg &amp; Lee (2017)</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SHAP</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تفسیرِ یکپارچه و اصولی‌بنیانِ خروجیِ هر مدل</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Bailey et al. (2014)</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احتمالِ بیش‌برازشِ بک‌تست</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خطرِ افزایشِ نمایی بیش‌برازش با افزایشِ تعدادِ استراتژیِ آزموده</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López de Prado (2018)</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اعتبارسنجیِ مالی</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تفکیکِ زمانیِ حذفِ آموزنده (Purged CV) برایِ جلوگیری از نشت</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Ngwaba (2025)</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پیش‌بینیِ ETFهایِ Covered Call</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برتریِ یادگیریِ عمیق نسبت به روش‌هایِ سری‌زمانیِ سنتی</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۱۰</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Zhang et al. (2026)</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نشتِ زمانِ‌تصمیم در بک‌تست</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فیچرهایِ متمرکزِ زمانی، منبعِ اصلیِ تورمِ مصنوعیِ معیارها</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Cho &amp; Kim (2025)</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بهینه‌سازیِ پرتفویِ مبتنی بر یادگیریِ عمیق</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تعدیلِ عدمِ‌قطعیت بر پایه‌ی سنجه‌ی بلادرنگِ کاراییِ بازار</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۱۲</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Dong &amp; Liang (2025)</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معماریِ CNN-LSTM-GNN</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ترکیبِ الگویِ محلی، کلی و رابطه‌ای، برتر از معماری‌هایِ تک‌بخشی</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۱۳</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Mostafaienia et al. (2025)؛ Tajik Gholami &amp; Shahabi (2025)</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پیش‌بینیِ عمیق در بورسِ تهران</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برتریِ LSTM/CNN نسبت به ARIMA در سطحِ نماد و شاخصِ کل</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۱۴</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Goswami &amp; Uddin (2026)</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XAI در پیش‌بینیِ بازدهیِ سهام</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برتریِ پایدارِ فیچرهایِ مومنتوم/حجمی در رتبه‌بندیِ SHAP</w:t>
            </w:r>
          </w:p>
        </w:tc>
      </w:tr>
    </w:tbl>
    <w:p>
      <w:pPr>
        <w:bidi/>
        <w:spacing w:after="320" w:before="100"/>
        <w:jc w:val="center"/>
      </w:pPr>
      <w:r>
        <w:rPr>
          <w:rFonts w:ascii="B Nazanin" w:cs="B Nazanin" w:eastAsia="B Nazanin" w:hAnsi="B Nazanin"/>
          <w:i/>
          <w:iCs/>
          <w:color w:val="555555"/>
          <w:sz w:val="22"/>
          <w:szCs w:val="22"/>
          <w:rtl/>
        </w:rPr>
        <w:t xml:space="preserve">جدول 1. جمع‌بندیِ چهارده مطالعۀ کلیدیِ مرورشده در این فصل</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۲-۱۱ — جمع‌بندی و شکافِ پژوهشی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مرورِ ادبیاتِ فوق سه شکافِ به‌هم‌مرتبط را آشکار می‌کند که این پایان‌نامه در پیِ پرکردنِ آن‌هاست. نخست، پژوهش‌های خاصِ بورسِ تهران (بخشِ ۲-۵) عمدتاً به پیش‌بینیِ عددیِ قیمت یا شاخص محدودند و به یک استراتژیِ معاملاتیِ عملی — به‌ویژه مبتنی بر آپشن — متصل نشده‌اند؛ در مقابل، پژوهش‌های Covered Call مبتنی بر یادگیریِ ماشین (نظیرِ Ngwaba, 2025) به بازارهایِ توسعه‌یافته و ETFهایِ شناخته‌شده محدودند. این پایان‌نامه، با اتصالِ مستقیمِ خروجیِ طبقه‌بندی به یک موتورِ بک‌تستِ Covered Call مبتنی بر بلک-شولز، این دو خطِ پژوهشیِ مجزا را برایِ اولین‌بار — تا جایی که در این مرور یافت شد — برایِ بورسِ تهران به‌هم متصل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دوم، هرچند ادبیاتِ نظریِ نشتِ اطلاعات و بیش‌برازشِ بک‌تست (بخشِ ۲-۷) به‌سرعت درحالِ رشد است، اکثرِ این پژوهش‌ها — از جمله جدیدترینِ آن‌ها (Zhang et al., 2026) — یا صرفاً روش‌شناسی/معیار پیشنهاد می‌دهند یا از داده‌های شبیه‌سازی‌شده/بازارهایِ توسعه‌یافته استفاده می‌کنند؛ کمتر پژوهشی یک گروهِ کنترلِ کاملِ عملیاتی (یک خطِ لوله‌ی موازیِ عمداً نشت‌دار، با همان مدل‌ها و همان داده) روی یک بازارِ نوظهورِ خاص می‌سازد تا هزینه‌ی نشت را به‌طورِ مستقیم و قابلِ‌بازتولید نشان دهد. سوم، در زمینه‌ی معماریِ مدل، هرچند اثربخشیِ CNN-LSTM در بازارهایِ بزرگ (Dong &amp; Liang, 2025) و اثربخشیِ فیچرهایِ کلانِ اقتصادی در چارچوب‌هایِ پیش‌بینیِ بازدهی (Goswami &amp; Uddin, 2026) هرکدام به‌طورِ جداگانه مستند شده‌اند، مقایسه‌ی مستقیمِ این دو نوع افزوده (مدلِ پیچیده‌تر در برابرِ داده‌ی جدید) روی یک مجموعه‌ی ثابت از نمادهایِ یک بازارِ نوظهور — که پاسخِ صریحی به پرسشِ «کدام سرمایه‌گذاری، بازدهیِ پژوهشیِ بهتری دارد؟» بدهد — در ادبیاتِ مرورشده یافت نشد. فصلِ سوم این پایان‌نامه، رویکردِ پیشنهادی برایِ پاسخ به هر سه شکاف را ارائه می‌دهد.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۲-۱۲ — منابع</w:t>
      </w:r>
    </w:p>
    <w:p>
      <w:pPr>
        <w:bidi/>
        <w:spacing w:after="160" w:line="300" w:lineRule="auto"/>
        <w:ind w:left="340" w:hanging="340"/>
        <w:jc w:val="both"/>
      </w:pPr>
      <w:r>
        <w:rPr>
          <w:rFonts w:ascii="Calibri" w:cs="Calibri" w:eastAsia="Calibri" w:hAnsi="Calibri"/>
          <w:color w:val="1a1a1a"/>
          <w:sz w:val="21"/>
          <w:szCs w:val="21"/>
          <w:rtl w:val="false"/>
        </w:rPr>
        <w:t xml:space="preserve">Akiba, T., Sano, S., Yanase, T., Ohta, T., &amp; Koyama, M. (2019). Optuna: A next-generation hyperparameter optimization framework. Proceedings of the 25th ACM SIGKDD International Conference on Knowledge Discovery &amp; Data Mining, 2623–2631.</w:t>
      </w:r>
    </w:p>
    <w:p>
      <w:pPr>
        <w:bidi/>
        <w:spacing w:after="160" w:line="300" w:lineRule="auto"/>
        <w:ind w:left="340" w:hanging="340"/>
        <w:jc w:val="both"/>
      </w:pPr>
      <w:r>
        <w:rPr>
          <w:rFonts w:ascii="Calibri" w:cs="Calibri" w:eastAsia="Calibri" w:hAnsi="Calibri"/>
          <w:color w:val="1a1a1a"/>
          <w:sz w:val="21"/>
          <w:szCs w:val="21"/>
          <w:rtl w:val="false"/>
        </w:rPr>
        <w:t xml:space="preserve">Arian, H. R., Norouzi M., D., &amp; Seco, L. A. (2025). Backtest overfitting in the machine learning era: A comparison of out-of-sample testing methods in a synthetic controlled environment. Knowledge-Based Systems, 305, 112477.</w:t>
      </w:r>
    </w:p>
    <w:p>
      <w:pPr>
        <w:bidi/>
        <w:spacing w:after="160" w:line="300" w:lineRule="auto"/>
        <w:ind w:left="340" w:hanging="340"/>
        <w:jc w:val="both"/>
      </w:pPr>
      <w:r>
        <w:rPr>
          <w:rFonts w:ascii="Calibri" w:cs="Calibri" w:eastAsia="Calibri" w:hAnsi="Calibri"/>
          <w:color w:val="1a1a1a"/>
          <w:sz w:val="21"/>
          <w:szCs w:val="21"/>
          <w:rtl w:val="false"/>
        </w:rPr>
        <w:t xml:space="preserve">Bailey, D. H., Borwein, J., López de Prado, M., &amp; Zhu, Q. J. (2014). The probability of backtest overfitting. Journal of Computational Finance, 20(4), 39–69.</w:t>
      </w:r>
    </w:p>
    <w:p>
      <w:pPr>
        <w:bidi/>
        <w:spacing w:after="160" w:line="300" w:lineRule="auto"/>
        <w:ind w:left="340" w:hanging="340"/>
        <w:jc w:val="both"/>
      </w:pPr>
      <w:r>
        <w:rPr>
          <w:rFonts w:ascii="Calibri" w:cs="Calibri" w:eastAsia="Calibri" w:hAnsi="Calibri"/>
          <w:color w:val="1a1a1a"/>
          <w:sz w:val="21"/>
          <w:szCs w:val="21"/>
          <w:rtl w:val="false"/>
        </w:rPr>
        <w:t xml:space="preserve">Black, F., &amp; Scholes, M. (1973). The pricing of options and corporate liabilities. Journal of Political Economy, 81(3), 637–654.</w:t>
      </w:r>
    </w:p>
    <w:p>
      <w:pPr>
        <w:bidi/>
        <w:spacing w:after="160" w:line="300" w:lineRule="auto"/>
        <w:ind w:left="340" w:hanging="340"/>
        <w:jc w:val="both"/>
      </w:pPr>
      <w:r>
        <w:rPr>
          <w:rFonts w:ascii="Calibri" w:cs="Calibri" w:eastAsia="Calibri" w:hAnsi="Calibri"/>
          <w:color w:val="1a1a1a"/>
          <w:sz w:val="21"/>
          <w:szCs w:val="21"/>
          <w:rtl w:val="false"/>
        </w:rPr>
        <w:t xml:space="preserve">Breiman, L. (2001). Random forests. Machine Learning, 45(1), 5–32.</w:t>
      </w:r>
    </w:p>
    <w:p>
      <w:pPr>
        <w:bidi/>
        <w:spacing w:after="160" w:line="300" w:lineRule="auto"/>
        <w:ind w:left="340" w:hanging="340"/>
        <w:jc w:val="both"/>
      </w:pPr>
      <w:r>
        <w:rPr>
          <w:rFonts w:ascii="Calibri" w:cs="Calibri" w:eastAsia="Calibri" w:hAnsi="Calibri"/>
          <w:color w:val="1a1a1a"/>
          <w:sz w:val="21"/>
          <w:szCs w:val="21"/>
          <w:rtl w:val="false"/>
        </w:rPr>
        <w:t xml:space="preserve">Chen, T., &amp; Guestrin, C. (2016). XGBoost: A scalable tree boosting system. Proceedings of the 22nd ACM SIGKDD International Conference on Knowledge Discovery and Data Mining, 785–794.</w:t>
      </w:r>
    </w:p>
    <w:p>
      <w:pPr>
        <w:bidi/>
        <w:spacing w:after="160" w:line="300" w:lineRule="auto"/>
        <w:ind w:left="340" w:hanging="340"/>
        <w:jc w:val="both"/>
      </w:pPr>
      <w:r>
        <w:rPr>
          <w:rFonts w:ascii="Calibri" w:cs="Calibri" w:eastAsia="Calibri" w:hAnsi="Calibri"/>
          <w:color w:val="1a1a1a"/>
          <w:sz w:val="21"/>
          <w:szCs w:val="21"/>
          <w:rtl w:val="false"/>
        </w:rPr>
        <w:t xml:space="preserve">Chen, Y., Shen, W., Liu, H., &amp; Cao, X. (2025). EMAT: Enhanced multi-aspect attention transformer for financial time series forecasting. Entropy, 27(10), 1029.</w:t>
      </w:r>
    </w:p>
    <w:p>
      <w:pPr>
        <w:bidi/>
        <w:spacing w:after="160" w:line="300" w:lineRule="auto"/>
        <w:ind w:left="340" w:hanging="340"/>
        <w:jc w:val="both"/>
      </w:pPr>
      <w:r>
        <w:rPr>
          <w:rFonts w:ascii="Calibri" w:cs="Calibri" w:eastAsia="Calibri" w:hAnsi="Calibri"/>
          <w:color w:val="1a1a1a"/>
          <w:sz w:val="21"/>
          <w:szCs w:val="21"/>
          <w:rtl w:val="false"/>
        </w:rPr>
        <w:t xml:space="preserve">Cho, P., &amp; Kim, K. (2025). Novel approach for deep learning-based market forecasting and portfolio selection incorporating market efficiency. Expert Systems with Applications, 292, 128610.</w:t>
      </w:r>
    </w:p>
    <w:p>
      <w:pPr>
        <w:bidi/>
        <w:spacing w:after="160" w:line="300" w:lineRule="auto"/>
        <w:ind w:left="340" w:hanging="340"/>
        <w:jc w:val="both"/>
      </w:pPr>
      <w:r>
        <w:rPr>
          <w:rFonts w:ascii="Calibri" w:cs="Calibri" w:eastAsia="Calibri" w:hAnsi="Calibri"/>
          <w:color w:val="1a1a1a"/>
          <w:sz w:val="21"/>
          <w:szCs w:val="21"/>
          <w:rtl w:val="false"/>
        </w:rPr>
        <w:t xml:space="preserve">Dong, J., &amp; Liang, S. (2025). Hybrid CNN-LSTM-GNN neural network for A-share stock prediction. Entropy, 27(8), 881.</w:t>
      </w:r>
    </w:p>
    <w:p>
      <w:pPr>
        <w:bidi/>
        <w:spacing w:after="160" w:line="300" w:lineRule="auto"/>
        <w:ind w:left="340" w:hanging="340"/>
        <w:jc w:val="both"/>
      </w:pPr>
      <w:r>
        <w:rPr>
          <w:rFonts w:ascii="Calibri" w:cs="Calibri" w:eastAsia="Calibri" w:hAnsi="Calibri"/>
          <w:color w:val="1a1a1a"/>
          <w:sz w:val="21"/>
          <w:szCs w:val="21"/>
          <w:rtl w:val="false"/>
        </w:rPr>
        <w:t xml:space="preserve">Fama, E. F. (1970). Efficient capital markets: A review of theory and empirical work. The Journal of Finance, 25(2), 383–417.</w:t>
      </w:r>
    </w:p>
    <w:p>
      <w:pPr>
        <w:bidi/>
        <w:spacing w:after="160" w:line="300" w:lineRule="auto"/>
        <w:ind w:left="340" w:hanging="340"/>
        <w:jc w:val="both"/>
      </w:pPr>
      <w:r>
        <w:rPr>
          <w:rFonts w:ascii="Calibri" w:cs="Calibri" w:eastAsia="Calibri" w:hAnsi="Calibri"/>
          <w:color w:val="1a1a1a"/>
          <w:sz w:val="21"/>
          <w:szCs w:val="21"/>
          <w:rtl w:val="false"/>
        </w:rPr>
        <w:t xml:space="preserve">Goswami, B., &amp; Uddin, A. (2026). Significance of predictors: Revisiting stock return predictions using explainable AI. Annals of Operations Research, 357, 223–257.</w:t>
      </w:r>
    </w:p>
    <w:p>
      <w:pPr>
        <w:bidi/>
        <w:spacing w:after="160" w:line="300" w:lineRule="auto"/>
        <w:ind w:left="340" w:hanging="340"/>
        <w:jc w:val="both"/>
      </w:pPr>
      <w:r>
        <w:rPr>
          <w:rFonts w:ascii="Calibri" w:cs="Calibri" w:eastAsia="Calibri" w:hAnsi="Calibri"/>
          <w:color w:val="1a1a1a"/>
          <w:sz w:val="21"/>
          <w:szCs w:val="21"/>
          <w:rtl w:val="false"/>
        </w:rPr>
        <w:t xml:space="preserve">Hochreiter, S., &amp; Schmidhuber, J. (1997). Long short-term memory. Neural Computation, 9(8), 1735–1780.</w:t>
      </w:r>
    </w:p>
    <w:p>
      <w:pPr>
        <w:bidi/>
        <w:spacing w:after="160" w:line="300" w:lineRule="auto"/>
        <w:ind w:left="340" w:hanging="340"/>
        <w:jc w:val="both"/>
      </w:pPr>
      <w:r>
        <w:rPr>
          <w:rFonts w:ascii="Calibri" w:cs="Calibri" w:eastAsia="Calibri" w:hAnsi="Calibri"/>
          <w:color w:val="1a1a1a"/>
          <w:sz w:val="21"/>
          <w:szCs w:val="21"/>
          <w:rtl w:val="false"/>
        </w:rPr>
        <w:t xml:space="preserve">Kayit, A. D., &amp; Ismail, M. T. (2025). Leveraging hybrid ensemble models in stock market prediction: A data-driven approach. Data Science in Finance and Economics, 5(3), 355–386.</w:t>
      </w:r>
    </w:p>
    <w:p>
      <w:pPr>
        <w:bidi/>
        <w:spacing w:after="160" w:line="300" w:lineRule="auto"/>
        <w:ind w:left="340" w:hanging="340"/>
        <w:jc w:val="both"/>
      </w:pPr>
      <w:r>
        <w:rPr>
          <w:rFonts w:ascii="Calibri" w:cs="Calibri" w:eastAsia="Calibri" w:hAnsi="Calibri"/>
          <w:color w:val="1a1a1a"/>
          <w:sz w:val="21"/>
          <w:szCs w:val="21"/>
          <w:rtl w:val="false"/>
        </w:rPr>
        <w:t xml:space="preserve">Ke, G., Meng, Q., Finley, T., Wang, T., Chen, W., Ma, W., Ye, Q., &amp; Liu, T.-Y. (2017). LightGBM: A highly efficient gradient boosting decision tree. Advances in Neural Information Processing Systems, 30.</w:t>
      </w:r>
    </w:p>
    <w:p>
      <w:pPr>
        <w:bidi/>
        <w:spacing w:after="160" w:line="300" w:lineRule="auto"/>
        <w:ind w:left="340" w:hanging="340"/>
        <w:jc w:val="both"/>
      </w:pPr>
      <w:r>
        <w:rPr>
          <w:rFonts w:ascii="Calibri" w:cs="Calibri" w:eastAsia="Calibri" w:hAnsi="Calibri"/>
          <w:color w:val="1a1a1a"/>
          <w:sz w:val="21"/>
          <w:szCs w:val="21"/>
          <w:rtl w:val="false"/>
        </w:rPr>
        <w:t xml:space="preserve">Liu, J. (2024). Predicting Chinese stock market using XGBoost multi-objective optimization with optimal weighting. PeerJ Computer Science, 10, e1931.</w:t>
      </w:r>
    </w:p>
    <w:p>
      <w:pPr>
        <w:bidi/>
        <w:spacing w:after="160" w:line="300" w:lineRule="auto"/>
        <w:ind w:left="340" w:hanging="340"/>
        <w:jc w:val="both"/>
      </w:pPr>
      <w:r>
        <w:rPr>
          <w:rFonts w:ascii="Calibri" w:cs="Calibri" w:eastAsia="Calibri" w:hAnsi="Calibri"/>
          <w:color w:val="1a1a1a"/>
          <w:sz w:val="21"/>
          <w:szCs w:val="21"/>
          <w:rtl w:val="false"/>
        </w:rPr>
        <w:t xml:space="preserve">Lo, A. W. (2004). The adaptive markets hypothesis. The Journal of Portfolio Management, 30(5), 15–29.</w:t>
      </w:r>
    </w:p>
    <w:p>
      <w:pPr>
        <w:bidi/>
        <w:spacing w:after="160" w:line="300" w:lineRule="auto"/>
        <w:ind w:left="340" w:hanging="340"/>
        <w:jc w:val="both"/>
      </w:pPr>
      <w:r>
        <w:rPr>
          <w:rFonts w:ascii="Calibri" w:cs="Calibri" w:eastAsia="Calibri" w:hAnsi="Calibri"/>
          <w:color w:val="1a1a1a"/>
          <w:sz w:val="21"/>
          <w:szCs w:val="21"/>
          <w:rtl w:val="false"/>
        </w:rPr>
        <w:t xml:space="preserve">López de Prado, M. (2018). Advances in financial machine learning. John Wiley &amp; Sons.</w:t>
      </w:r>
    </w:p>
    <w:p>
      <w:pPr>
        <w:bidi/>
        <w:spacing w:after="160" w:line="300" w:lineRule="auto"/>
        <w:ind w:left="340" w:hanging="340"/>
        <w:jc w:val="both"/>
      </w:pPr>
      <w:r>
        <w:rPr>
          <w:rFonts w:ascii="Calibri" w:cs="Calibri" w:eastAsia="Calibri" w:hAnsi="Calibri"/>
          <w:color w:val="1a1a1a"/>
          <w:sz w:val="21"/>
          <w:szCs w:val="21"/>
          <w:rtl w:val="false"/>
        </w:rPr>
        <w:t xml:space="preserve">López de Prado, M., Simonian, J., Fabozzi, F. A., &amp; Fabozzi, F. J. (2025). Enhancing Markowitz's portfolio selection paradigm with machine learning. Annals of Operations Research, 346, 319–340.</w:t>
      </w:r>
    </w:p>
    <w:p>
      <w:pPr>
        <w:bidi/>
        <w:spacing w:after="160" w:line="300" w:lineRule="auto"/>
        <w:ind w:left="340" w:hanging="340"/>
        <w:jc w:val="both"/>
      </w:pPr>
      <w:r>
        <w:rPr>
          <w:rFonts w:ascii="Calibri" w:cs="Calibri" w:eastAsia="Calibri" w:hAnsi="Calibri"/>
          <w:color w:val="1a1a1a"/>
          <w:sz w:val="21"/>
          <w:szCs w:val="21"/>
          <w:rtl w:val="false"/>
        </w:rPr>
        <w:t xml:space="preserve">Lundberg, S. M., &amp; Lee, S.-I. (2017). A unified approach to interpreting model predictions. Advances in Neural Information Processing Systems, 30.</w:t>
      </w:r>
    </w:p>
    <w:p>
      <w:pPr>
        <w:bidi/>
        <w:spacing w:after="160" w:line="300" w:lineRule="auto"/>
        <w:ind w:left="340" w:hanging="340"/>
        <w:jc w:val="both"/>
      </w:pPr>
      <w:r>
        <w:rPr>
          <w:rFonts w:ascii="Calibri" w:cs="Calibri" w:eastAsia="Calibri" w:hAnsi="Calibri"/>
          <w:color w:val="1a1a1a"/>
          <w:sz w:val="21"/>
          <w:szCs w:val="21"/>
          <w:rtl w:val="false"/>
        </w:rPr>
        <w:t xml:space="preserve">Markowitz, H. (1952). Portfolio selection. The Journal of Finance, 7(1), 77–91.</w:t>
      </w:r>
    </w:p>
    <w:p>
      <w:pPr>
        <w:bidi/>
        <w:spacing w:after="160" w:line="300" w:lineRule="auto"/>
        <w:ind w:left="340" w:hanging="340"/>
        <w:jc w:val="both"/>
      </w:pPr>
      <w:r>
        <w:rPr>
          <w:rFonts w:ascii="Calibri" w:cs="Calibri" w:eastAsia="Calibri" w:hAnsi="Calibri"/>
          <w:color w:val="1a1a1a"/>
          <w:sz w:val="21"/>
          <w:szCs w:val="21"/>
          <w:rtl w:val="false"/>
        </w:rPr>
        <w:t xml:space="preserve">Mostafaienia, H., Yaeghoobi, K., &amp; Ebadati Esfahani, O. M. (2025). Deep learning-based price forecasting in Tehran Stock Exchange: LSTM and 1D CNN approaches. Advances in Finance and Investment, 6(3), 1–40.</w:t>
      </w:r>
    </w:p>
    <w:p>
      <w:pPr>
        <w:bidi/>
        <w:spacing w:after="160" w:line="300" w:lineRule="auto"/>
        <w:ind w:left="340" w:hanging="340"/>
        <w:jc w:val="both"/>
      </w:pPr>
      <w:r>
        <w:rPr>
          <w:rFonts w:ascii="Calibri" w:cs="Calibri" w:eastAsia="Calibri" w:hAnsi="Calibri"/>
          <w:color w:val="1a1a1a"/>
          <w:sz w:val="21"/>
          <w:szCs w:val="21"/>
          <w:rtl w:val="false"/>
        </w:rPr>
        <w:t xml:space="preserve">Ngwaba, C. A. (2025). Forecasting covered call exchange-traded funds (ETFs) using time series, machine learning, and deep learning models. Journal of Risk and Financial Management, 18(3), 120.</w:t>
      </w:r>
    </w:p>
    <w:p>
      <w:pPr>
        <w:bidi/>
        <w:spacing w:after="160" w:line="300" w:lineRule="auto"/>
        <w:ind w:left="340" w:hanging="340"/>
        <w:jc w:val="both"/>
      </w:pPr>
      <w:r>
        <w:rPr>
          <w:rFonts w:ascii="Calibri" w:cs="Calibri" w:eastAsia="Calibri" w:hAnsi="Calibri"/>
          <w:color w:val="1a1a1a"/>
          <w:sz w:val="21"/>
          <w:szCs w:val="21"/>
          <w:rtl w:val="false"/>
        </w:rPr>
        <w:t xml:space="preserve">Prokhorenkova, L., Gusev, G., Vorobev, A., Dorogush, A. V., &amp; Gulin, A. (2018). CatBoost: Unbiased boosting with categorical features. Advances in Neural Information Processing Systems, 31.</w:t>
      </w:r>
    </w:p>
    <w:p>
      <w:pPr>
        <w:bidi/>
        <w:spacing w:after="160" w:line="300" w:lineRule="auto"/>
        <w:ind w:left="340" w:hanging="340"/>
        <w:jc w:val="both"/>
      </w:pPr>
      <w:r>
        <w:rPr>
          <w:rFonts w:ascii="Calibri" w:cs="Calibri" w:eastAsia="Calibri" w:hAnsi="Calibri"/>
          <w:color w:val="1a1a1a"/>
          <w:sz w:val="21"/>
          <w:szCs w:val="21"/>
          <w:rtl w:val="false"/>
        </w:rPr>
        <w:t xml:space="preserve">Radfar, E. (2025). Stock market trend prediction using deep neural network via chart analysis: A practical method or a myth? Humanities and Social Sciences Communications, 12, 655.</w:t>
      </w:r>
    </w:p>
    <w:p>
      <w:pPr>
        <w:bidi/>
        <w:spacing w:after="160" w:line="300" w:lineRule="auto"/>
        <w:ind w:left="340" w:hanging="340"/>
        <w:jc w:val="both"/>
      </w:pPr>
      <w:r>
        <w:rPr>
          <w:rFonts w:ascii="Calibri" w:cs="Calibri" w:eastAsia="Calibri" w:hAnsi="Calibri"/>
          <w:color w:val="1a1a1a"/>
          <w:sz w:val="21"/>
          <w:szCs w:val="21"/>
          <w:rtl w:val="false"/>
        </w:rPr>
        <w:t xml:space="preserve">Ślusarczyk, D., &amp; Ślepaczuk, R. (2025). Optimal Markowitz portfolio using returns forecasted with time series and machine learning models. Journal of Big Data, 12, 127.</w:t>
      </w:r>
    </w:p>
    <w:p>
      <w:pPr>
        <w:bidi/>
        <w:spacing w:after="160" w:line="300" w:lineRule="auto"/>
        <w:ind w:left="340" w:hanging="340"/>
        <w:jc w:val="both"/>
      </w:pPr>
      <w:r>
        <w:rPr>
          <w:rFonts w:ascii="Calibri" w:cs="Calibri" w:eastAsia="Calibri" w:hAnsi="Calibri"/>
          <w:color w:val="1a1a1a"/>
          <w:sz w:val="21"/>
          <w:szCs w:val="21"/>
          <w:rtl w:val="false"/>
        </w:rPr>
        <w:t xml:space="preserve">Sortino, F. A., &amp; Price, L. N. (1994). Performance measurement in a downside risk framework. The Journal of Investing, 3(3), 59–64.</w:t>
      </w:r>
    </w:p>
    <w:p>
      <w:pPr>
        <w:bidi/>
        <w:spacing w:after="160" w:line="300" w:lineRule="auto"/>
        <w:ind w:left="340" w:hanging="340"/>
        <w:jc w:val="both"/>
      </w:pPr>
      <w:r>
        <w:rPr>
          <w:rFonts w:ascii="Calibri" w:cs="Calibri" w:eastAsia="Calibri" w:hAnsi="Calibri"/>
          <w:color w:val="1a1a1a"/>
          <w:sz w:val="21"/>
          <w:szCs w:val="21"/>
          <w:rtl w:val="false"/>
        </w:rPr>
        <w:t xml:space="preserve">Tajik Gholami, M., &amp; Shahabi, A. (2025). Comparison of deep learning methods with traditional financial time series models for forecasting the TEPIX index in the Tehran Stock Exchange. Systems and Soft Computing (in press).</w:t>
      </w:r>
    </w:p>
    <w:p>
      <w:pPr>
        <w:bidi/>
        <w:spacing w:after="160" w:line="300" w:lineRule="auto"/>
        <w:ind w:left="340" w:hanging="340"/>
        <w:jc w:val="both"/>
      </w:pPr>
      <w:r>
        <w:rPr>
          <w:rFonts w:ascii="Calibri" w:cs="Calibri" w:eastAsia="Calibri" w:hAnsi="Calibri"/>
          <w:color w:val="1a1a1a"/>
          <w:sz w:val="21"/>
          <w:szCs w:val="21"/>
          <w:rtl w:val="false"/>
        </w:rPr>
        <w:t xml:space="preserve">Vaswani, A., Shazeer, N., Parmar, N., Uszkoreit, J., Jones, L., Gomez, A. N., Kaiser, Ł., &amp; Polosukhin, I. (2017). Attention is all you need. Advances in Neural Information Processing Systems, 30.</w:t>
      </w:r>
    </w:p>
    <w:p>
      <w:pPr>
        <w:bidi/>
        <w:spacing w:after="160" w:line="300" w:lineRule="auto"/>
        <w:ind w:left="340" w:hanging="340"/>
        <w:jc w:val="both"/>
      </w:pPr>
      <w:r>
        <w:rPr>
          <w:rFonts w:ascii="Calibri" w:cs="Calibri" w:eastAsia="Calibri" w:hAnsi="Calibri"/>
          <w:color w:val="1a1a1a"/>
          <w:sz w:val="21"/>
          <w:szCs w:val="21"/>
          <w:rtl w:val="false"/>
        </w:rPr>
        <w:t xml:space="preserve">Whaley, R. E. (2002). Return and risk of CBOE buy write monthly index. The Journal of Derivatives, 10(2), 35–42.</w:t>
      </w:r>
    </w:p>
    <w:p>
      <w:pPr>
        <w:bidi/>
        <w:spacing w:after="160" w:line="300" w:lineRule="auto"/>
        <w:ind w:left="340" w:hanging="340"/>
        <w:jc w:val="both"/>
      </w:pPr>
      <w:r>
        <w:rPr>
          <w:rFonts w:ascii="Calibri" w:cs="Calibri" w:eastAsia="Calibri" w:hAnsi="Calibri"/>
          <w:color w:val="1a1a1a"/>
          <w:sz w:val="21"/>
          <w:szCs w:val="21"/>
          <w:rtl w:val="false"/>
        </w:rPr>
        <w:t xml:space="preserve">Zhang, F., Li, Z., Peng, S., &amp; Chen, Y. (2026). When alpha disappears: A one-switch benchmark for decision-time leakage in financial backtests. arXiv preprint arXiv:2605.23959.</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دوم — مروری بر ادبیات پژوهش</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2026-09-04T10:16:14.119Z</dcterms:created>
  <dcterms:modified xsi:type="dcterms:W3CDTF">2026-09-04T10:16:14.119Z</dcterms:modified>
</cp:coreProperties>
</file>

<file path=docProps/custom.xml><?xml version="1.0" encoding="utf-8"?>
<Properties xmlns="http://schemas.openxmlformats.org/officeDocument/2006/custom-properties" xmlns:vt="http://schemas.openxmlformats.org/officeDocument/2006/docPropsVTypes"/>
</file>