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center"/>
      </w:pPr>
      <w:r>
        <w:rPr>
          <w:rFonts w:ascii="B Nazanin" w:cs="B Nazanin" w:eastAsia="B Nazanin" w:hAnsi="B Nazanin"/>
          <w:b/>
          <w:bCs/>
          <w:color w:val="1e3a5f"/>
          <w:sz w:val="44"/>
          <w:szCs w:val="44"/>
          <w:rtl/>
        </w:rPr>
        <w:t xml:space="preserve">فصل سوم</w:t>
      </w:r>
    </w:p>
    <w:p>
      <w:pPr>
        <w:bidi/>
        <w:spacing w:after="480"/>
        <w:jc w:val="center"/>
      </w:pPr>
      <w:r>
        <w:rPr>
          <w:rFonts w:ascii="B Nazanin" w:cs="B Nazanin" w:eastAsia="B Nazanin" w:hAnsi="B Nazanin"/>
          <w:b/>
          <w:bCs/>
          <w:color w:val="1a1a1a"/>
          <w:sz w:val="40"/>
          <w:szCs w:val="40"/>
          <w:rtl/>
        </w:rPr>
        <w:t xml:space="preserve">رویکرد پیشنهادی و معماری سامانه</w:t>
      </w:r>
    </w:p>
    <w:p>
      <w:pPr>
        <w:bidi/>
        <w:spacing w:after="120"/>
        <w:jc w:val="center"/>
      </w:pPr>
      <w:r>
        <w:rPr>
          <w:rFonts w:ascii="B Nazanin" w:cs="B Nazanin" w:eastAsia="B Nazanin" w:hAnsi="B Nazanin"/>
          <w:i/>
          <w:iCs/>
          <w:color w:val="555555"/>
          <w:sz w:val="24"/>
          <w:szCs w:val="24"/>
          <w:rtl/>
        </w:rPr>
        <w:t xml:space="preserve">مدیریت سبد سرمایه‌گذاری از طریق روش اختیار خرید پوشش‌داده‌شده با استفاده از یادگیری عمیق</w:t>
      </w:r>
    </w:p>
    <w:p>
      <w:pPr>
        <w:bidi/>
        <w:spacing w:after="100"/>
        <w:jc w:val="center"/>
      </w:pPr>
      <w:r>
        <w:rPr>
          <w:rFonts w:ascii="B Nazanin" w:cs="B Nazanin" w:eastAsia="B Nazanin" w:hAnsi="B Nazanin"/>
          <w:color w:val="555555"/>
          <w:sz w:val="22"/>
          <w:szCs w:val="22"/>
          <w:rtl/>
        </w:rPr>
        <w:t xml:space="preserve">مطالعه‌ی موردی: بورس اوراق بهادار تهران</w:t>
      </w:r>
    </w:p>
    <w:p>
      <w:r>
        <w:br w:type="page"/>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۳-۱ — مقدمه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فصل رویکرد پیشنهادی و معماری کاملِ سامانه‌ای را شرح می‌دهد که برای پیش‌بینیِ جهتِ حرکتِ قیمتِ سهام و پیاده‌سازیِ استراتژیِ اختیارِ خریدِ پوشش‌داده‌شده (Covered Call) بر پایه‌ی آن طراحی شده است. هدف از این فصل، ارائه‌ی توصیفی دقیق، بازتولیدپذیر و از نظرِ روش‌شناختی مدافعه‌پذیر از هر یک از اجزای سامانه است؛ به‌گونه‌ای که هر تصمیمِ طراحی (از انتخابِ نوعِ تفکیکِ داده گرفته تا معماریِ شبکه‌های عصبی) با استدلالِ فنیِ صریح همراه باشد. عمداً از ارائه‌ی نتایجِ عددی، جداولِ عملکرد یا مقادیرِ به‌دست‌آمده در این فصل خودداری شده است؛ گزارشِ کاملِ نتایج و تحلیلِ آن‌ها موضوعِ فصلِ نتایج خواهد بود. آنچه در ادامه می‌آید صرفاً معماری، جریانِ داده و منطقِ الگوریتمیِ رویکرد است.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طراحیِ این سامانه حولِ سه اصلِ راهنما شکل گرفته است. اصلِ نخست، </w:t>
      </w:r>
      <w:r>
        <w:rPr>
          <w:rFonts w:ascii="B Nazanin" w:cs="B Nazanin" w:eastAsia="B Nazanin" w:hAnsi="B Nazanin"/>
          <w:b/>
          <w:bCs/>
          <w:i w:val="false"/>
          <w:iCs w:val="false"/>
          <w:color w:val="1a1a1a"/>
          <w:sz w:val="26"/>
          <w:szCs w:val="26"/>
          <w:rtl/>
        </w:rPr>
        <w:t xml:space="preserve">علّیت (Causality)</w:t>
      </w:r>
      <w:r>
        <w:rPr>
          <w:rFonts w:ascii="B Nazanin" w:cs="B Nazanin" w:eastAsia="B Nazanin" w:hAnsi="B Nazanin"/>
          <w:b w:val="false"/>
          <w:bCs w:val="false"/>
          <w:i w:val="false"/>
          <w:iCs w:val="false"/>
          <w:color w:val="1a1a1a"/>
          <w:sz w:val="26"/>
          <w:szCs w:val="26"/>
          <w:rtl/>
        </w:rPr>
        <w:t xml:space="preserve"> است: هیچ فیچر، برچسب یا تصمیمی در هیچ نقطه از خط‌لوله مجاز نیست از اطلاعاتِ مربوط به لحظه‌ای پس از زمانِ تصمیم‌گیری استفاده کند. اصلِ دوم، </w:t>
      </w:r>
      <w:r>
        <w:rPr>
          <w:rFonts w:ascii="B Nazanin" w:cs="B Nazanin" w:eastAsia="B Nazanin" w:hAnsi="B Nazanin"/>
          <w:b/>
          <w:bCs/>
          <w:i w:val="false"/>
          <w:iCs w:val="false"/>
          <w:color w:val="1a1a1a"/>
          <w:sz w:val="26"/>
          <w:szCs w:val="26"/>
          <w:rtl/>
        </w:rPr>
        <w:t xml:space="preserve">اعتبارسنجیِ چندلایه</w:t>
      </w:r>
      <w:r>
        <w:rPr>
          <w:rFonts w:ascii="B Nazanin" w:cs="B Nazanin" w:eastAsia="B Nazanin" w:hAnsi="B Nazanin"/>
          <w:b w:val="false"/>
          <w:bCs w:val="false"/>
          <w:i w:val="false"/>
          <w:iCs w:val="false"/>
          <w:color w:val="1a1a1a"/>
          <w:sz w:val="26"/>
          <w:szCs w:val="26"/>
          <w:rtl/>
        </w:rPr>
        <w:t xml:space="preserve"> است: هیچ ادعای عملکردی صرفاً بر پایه‌ی یک تفکیکِ ثابتِ آموزش/آزمون پذیرفته نمی‌شود، بلکه باید در برابرِ اعتبارسنجیِ غلتانِ زمانی (Walk-Forward) هم پایدار بماند. اصلِ سوم، </w:t>
      </w:r>
      <w:r>
        <w:rPr>
          <w:rFonts w:ascii="B Nazanin" w:cs="B Nazanin" w:eastAsia="B Nazanin" w:hAnsi="B Nazanin"/>
          <w:b/>
          <w:bCs/>
          <w:i w:val="false"/>
          <w:iCs w:val="false"/>
          <w:color w:val="1a1a1a"/>
          <w:sz w:val="26"/>
          <w:szCs w:val="26"/>
          <w:rtl/>
        </w:rPr>
        <w:t xml:space="preserve">صداقتِ روش‌شناختی</w:t>
      </w:r>
      <w:r>
        <w:rPr>
          <w:rFonts w:ascii="B Nazanin" w:cs="B Nazanin" w:eastAsia="B Nazanin" w:hAnsi="B Nazanin"/>
          <w:b w:val="false"/>
          <w:bCs w:val="false"/>
          <w:i w:val="false"/>
          <w:iCs w:val="false"/>
          <w:color w:val="1a1a1a"/>
          <w:sz w:val="26"/>
          <w:szCs w:val="26"/>
          <w:rtl/>
        </w:rPr>
        <w:t xml:space="preserve"> است: به‌موازاتِ خطِ لوله‌ی اصلی، یک مسیرِ کنترلیِ عمداً دارای نشتِ اطلاعات (که در بخش ۳-۱۲ توصیف می‌شود) نیز پیاده‌سازی شده تا تفاوتِ کمّیِ میانِ روشِ صحیح و روشِ نادرست را به‌طور عینی نشان دهد.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ساختارِ باقی‌ماندۀ این فصل به‌ترتیب عبارت است از: معماریِ کلیِ سامانه (۳-۲)، منبعِ داده و پیش‌پردازش (۳-۳)، مهندسیِ فیچر (۳-۴)، تعریفِ برچسب و افقِ پیش‌بینیِ چندگانه (۳-۵)، روشِ تفکیکِ داده بدونِ نشتِ اطلاعات (۳-۶)، معماریِ مدل‌های یادگیری‌ماشین و یادگیریِ عمیق (۳-۷)، یادگیریِ ترکیبیِ دوسطحی (۳-۸)، اعتبارسنجیِ استحکام و ایمنی‌سازیِ انتخاب (۳-۹)، موتورِ بک‌تستِ استراتژی (۳-۱۰)، بهینه‌سازیِ پرتفوی (۳-۱۱)، چارچوبِ کنترلیِ HONEST/FRAUD (۳-۱۲) و در نهایت جمع‌بندیِ فصل (۳-۱۳).</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۳-۲ — معماریِ کلیِ سامانه‌ی پیشنهادی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سامانه‌ی پیشنهادی از یازده مرحله‌ی متوالی تشکیل شده که هرکدام ورودیِ مرحله‌ی بعد را می‌سازند و در طولِ کل خط‌لوله، محدودیتِ علّیت به‌طور یکدست اعمال می‌شود. شکل ۱ نمای کلیِ این معماری را نشان می‌دهد.</w:t>
      </w:r>
    </w:p>
    <w:p>
      <w:pPr>
        <w:spacing w:after="80" w:before="200"/>
        <w:jc w:val="center"/>
      </w:pPr>
      <w:r>
        <w:drawing>
          <wp:inline distT="0" distB="0" distL="0" distR="0">
            <wp:extent cx="58102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10250" cy="1990725"/>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1. معماریِ کلیِ خط‌لولۀ HONEST و مسیرِ کنترلیِ موازیِ آن</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ادامه، هر یک از این یازده مرحله به‌اختصار معرفی می‌شود و در بخش‌های اختصاصیِ بعدی با جزئیاتِ کامل بازخواهد گشت:</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جمع‌آوری و پاکسازیِ داده‌ی خامِ قیمتی از منبعِ رسمیِ بورس، همراه با تعدیلِ رویدادهای شرکتی (بخش ۳-۳).</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مهندسیِ صد فیچرِ عددی از چهار خانواده‌ی متفاوت (بخش ۳-۴).</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تورنمنتِ انتخابِ افقِ پیش‌بینی به‌ازای هر نماد، به‌جای یک افقِ ثابتِ دلبخواهی (بخش ۳-۵).</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تفکیکِ زمانیِ داده با فاصله‌ی حذفِ آموزنده (Purge Gap) برای جلوگیری از نشتِ برچسب (بخش ۳-۶).</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تورنمنتِ نُه‌مدلی شاملِ چهار مدلِ درختیِ گرادیان‌بوستینگ، یک پرسپترونِ چندلایه، یک شبکه‌ی بازگشتیِ LSTM با مکانیزمِ توجه، یک شبکه‌ی ترکیبیِ CNN-LSTM، و دو مدلِ ترکیبی (بخش ۳-۷).</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ساختِ یک یادگیریِ ترکیبیِ دوسطحی (Stacking/Voting) بر پایه‌ی بهترین زیرمجموعه‌ی مدل‌ها (بخش ۳-۸).</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اعتبارسنجیِ استحکام با روشِ غلتانِ زمانی و یک مکانیزمِ خودکارِ ایمنی‌سازیِ انتخاب (بخش ۳-۹).</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موتورِ بک‌تستِ استراتژیِ اختیارِ خریدِ پوشش‌داده‌شده، مبتنی بر قیمت‌گذاریِ بلک-شولز (بخش ۳-۱۰).</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بهینه‌سازیِ وزنِ پرتفوی بر پایه‌ی چارچوبِ مارکویتز (بخش ۳-۱۱).</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۳-۳ — منبعِ داده و پیش‌پردازش</w:t>
      </w:r>
    </w:p>
    <w:p>
      <w:pPr>
        <w:pStyle w:val="Heading2"/>
        <w:bidi/>
        <w:spacing w:after="180" w:before="360"/>
        <w:jc w:val="right"/>
      </w:pPr>
      <w:r>
        <w:rPr>
          <w:rFonts w:ascii="B Nazanin" w:cs="B Nazanin" w:eastAsia="B Nazanin" w:hAnsi="B Nazanin"/>
          <w:b/>
          <w:bCs/>
          <w:color w:val="1e3a5f"/>
          <w:sz w:val="30"/>
          <w:szCs w:val="30"/>
          <w:rtl/>
        </w:rPr>
        <w:t xml:space="preserve">۳-۳-۱ دادۀ خام و بازه‌ی زمانی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داده‌ی خامِ ورودیِ سامانه، سری‌های زمانیِ روزانه‌ی قیمت و حجمِ معاملات (نمادِ استاندارد OHLCV به‌همراه ارزشِ معاملات) برایِ شش نمادِ منتخب از بورسِ اوراق بهادارِ تهران است که از منبعِ رسمیِ مدیریتِ فناوری بورس تهران (TSETMC) استخراج شده‌اند. این شش نماد از صنایعِ متفاوت (فلزاتِ اساسی، خودرو، پتروشیمی، سرمایه‌گذاری و بانکداری) انتخاب شده‌اند تا تنوعِ کافی در الگوهایِ نقدشوندگی، نوسان و رفتارِ قیمتی فراهم شود. بازه‌ی زمانیِ مورد استفاده برای هر نماد از ابتدای فایل‌های خامِ در دسترس آغاز و تا میانه‌ی دهه‌ی ۱۴۰۰ ادامه می‌یابد؛ در عمل، پیش از ورود به مرحله‌ی مهندسیِ فیچر، بازه‌ای ثابت از سالِ ۱۳۹۳ (۲۰۱۵ میلادی) به بعد برای همه‌ی نمادها اعمال می‌شود تا از یکدستیِ افقِ زمانی میانِ نمادها اطمینان حاصل شود.</w:t>
      </w:r>
    </w:p>
    <w:p>
      <w:pPr>
        <w:pStyle w:val="Heading2"/>
        <w:bidi/>
        <w:spacing w:after="180" w:before="360"/>
        <w:jc w:val="right"/>
      </w:pPr>
      <w:r>
        <w:rPr>
          <w:rFonts w:ascii="B Nazanin" w:cs="B Nazanin" w:eastAsia="B Nazanin" w:hAnsi="B Nazanin"/>
          <w:b/>
          <w:bCs/>
          <w:color w:val="1e3a5f"/>
          <w:sz w:val="30"/>
          <w:szCs w:val="30"/>
          <w:rtl/>
        </w:rPr>
        <w:t xml:space="preserve">۳-۳-۲ پاکسازی و تعدیلِ رویدادهای شرکتی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داده‌ی خامِ بورسیِ ایران دارای یک ویژگیِ ساختاریِ مهم است که در بسیاری از مطالعاتِ مشابه نادیده گرفته می‌شود: جهش‌های قیمتیِ شدید و ناگهانی که ناشیِ از رویدادهای شرکتی (به‌ویژه افزایشِ سرمایه از محلِ مطالباتِ سهامداران و اندوخته) هستند، نه نوسانِ واقعیِ بازار. چنین جهش‌هایی می‌توانند به بزرگیِ چند برابرِ دامنه‌ی نوسانِ روزانه‌ی مجاز باشند و اگر بدونِ تعدیل باقی بمانند، مستقیماً به فیچرهای مبتنی بر بازده (مانندِ میانگین‌های متحرک، RSI و نوسان‌پذیری) نشت پیدا می‌کنند و مدل را به‌جای یادگیریِ الگوی معاملاتی، به یادگیریِ نویزِ ساختاری سوق می‌دهند.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برای رفعِ این مشکل، الگوریتمی پیاده‌سازی شده که سری‌ی بازدهیِ روزانه را از انتهای دوره به ابتدا پیمایش می‌کند و هر بازدهی که در قدرمطلق از یک آستانه‌ی محافظه‌کارانه (</w:t>
      </w:r>
      <w:r>
        <w:rPr>
          <w:rFonts w:ascii="B Nazanin" w:cs="B Nazanin" w:eastAsia="B Nazanin" w:hAnsi="B Nazanin"/>
          <w:b/>
          <w:bCs/>
          <w:i w:val="false"/>
          <w:iCs w:val="false"/>
          <w:color w:val="1a1a1a"/>
          <w:sz w:val="26"/>
          <w:szCs w:val="26"/>
          <w:rtl/>
        </w:rPr>
        <w:t xml:space="preserve">۲۵ درصد</w:t>
      </w:r>
      <w:r>
        <w:rPr>
          <w:rFonts w:ascii="B Nazanin" w:cs="B Nazanin" w:eastAsia="B Nazanin" w:hAnsi="B Nazanin"/>
          <w:b w:val="false"/>
          <w:bCs w:val="false"/>
          <w:i w:val="false"/>
          <w:iCs w:val="false"/>
          <w:color w:val="1a1a1a"/>
          <w:sz w:val="26"/>
          <w:szCs w:val="26"/>
          <w:rtl/>
        </w:rPr>
        <w:t xml:space="preserve">) فراتر رود را به‌عنوانِ رویدادِ شرکتی علامت‌گذاری می‌کند. آستانه‌ی ۲۵ درصد عمداً بسیار بالاتر از دامنه‌ی نوسانِ روزانه‌ی معمولِ بورسِ تهران (در حدودِ مثبت و منفیِ ۵ تا ۶ درصد) انتخاب شده تا نوساناتِ شدید ولی واقعیِ بازار (مانندِ روزهای بحرانی) دست‌نخورده باقی بمانند و تنها جهش‌هایی که به‌وضوح غیرِعادی‌اند تعدیل شوند. برای هر رویدادِ شناسایی‌شده، یک ضریبِ تعدیل محاسبه و به تمامِ قیمت‌های پیش از آن رویداد اعمال می‌شود — دقیقاً به همان شیوه‌ای که تعدیلِ افزایشِ سرمایه یا تقسیمِ سهام در بازارهای توسعه‌یافته انجام می‌شود. این محدودیتِ روش‌شناختی — که تشخیصِ رویداد صرفاً بر اساسِ بزرگیِ جهش است، نه اطلاعِ دقیقِ نوعِ رویداد — به‌صراحت به‌عنوانِ یکی از محدودیت‌های این پژوهش ثبت می‌شود.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پس از تعدیلِ رویدادهای شرکتی، ردیف‌های دارایِ حجمِ معاملاتیِ صفر (روزهای بسته یا فاقدِ معامله) حذف می‌شوند و در صورتِ نیاز — یعنی برای نمادهایی با کمتر از ۵۰۰ ردیفِ معتبر پس از فیلتر — یک مرحله‌ی اختیاریِ افزایشِ داده مبتنی بر شبکه‌ی مولدِ تخاصمی (GAN) در نظر گرفته شده است؛ در عمل، تمامیِ شش نمادِ منتخب این آستانه را برآورده می‌کنند و نیازی به فعال‌سازیِ این مرحله نبوده است.</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۳-۴ — مهندسیِ فیچر</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برایِ هر نماد، صد فیچرِ عددیِ روزانه از چهار خانواده‌ی مکمل ساخته می‌شود. طراحیِ هر فیچر مقیدِ اصلِ علّیت است: تمامیِ محاسباتِ غلتان (rolling) صرفاً از داده‌ی تا لحظه‌ی جاری استفاده می‌کنند و هیچ پنجره‌ی مرکزی (centered) یا رو‌به‌جلو به‌کار نمی‌رود — نکته‌ای که در بخشِ ۳-۱۲ اهمیتِ آن با یک آزمایشِ کنترلیِ عمدی نشان داده می‌شود. جدولِ ۱ چهار خانواده‌ی فیچر را به همراه نمونه‌هایی از هر خانواده خلاصه می‌کند.</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600"/>
        <w:gridCol w:w="1100"/>
        <w:gridCol w:w="3600"/>
        <w:gridCol w:w="3300"/>
      </w:tblGrid>
      <w:tr>
        <w:tc>
          <w:tcPr>
            <w:tcW w:type="dxa" w:w="26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20"/>
                <w:szCs w:val="20"/>
                <w:rtl/>
              </w:rPr>
              <w:t xml:space="preserve">خانواده</w:t>
            </w:r>
          </w:p>
        </w:tc>
        <w:tc>
          <w:tcPr>
            <w:tcW w:type="dxa" w:w="11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20"/>
                <w:szCs w:val="20"/>
                <w:rtl/>
              </w:rPr>
              <w:t xml:space="preserve">تعداد</w:t>
            </w:r>
          </w:p>
        </w:tc>
        <w:tc>
          <w:tcPr>
            <w:tcW w:type="dxa" w:w="3600"/>
            <w:shd w:fill="1e3a5f" w:val="clear"/>
            <w:tcMar>
              <w:top w:type="dxa" w:w="80"/>
              <w:left w:type="dxa" w:w="120"/>
              <w:bottom w:type="dxa" w:w="80"/>
              <w:right w:type="dxa" w:w="120"/>
            </w:tcMar>
            <w:vAlign w:val="center"/>
          </w:tcPr>
          <w:p>
            <w:pPr>
              <w:bidi/>
              <w:jc w:val="right"/>
            </w:pPr>
            <w:r>
              <w:rPr>
                <w:rFonts w:ascii="B Nazanin" w:cs="B Nazanin" w:eastAsia="B Nazanin" w:hAnsi="B Nazanin"/>
                <w:b/>
                <w:bCs/>
                <w:color w:val="FFFFFF"/>
                <w:sz w:val="20"/>
                <w:szCs w:val="20"/>
                <w:rtl/>
              </w:rPr>
              <w:t xml:space="preserve">توضیح</w:t>
            </w:r>
          </w:p>
        </w:tc>
        <w:tc>
          <w:tcPr>
            <w:tcW w:type="dxa" w:w="3300"/>
            <w:shd w:fill="1e3a5f" w:val="clear"/>
            <w:tcMar>
              <w:top w:type="dxa" w:w="80"/>
              <w:left w:type="dxa" w:w="120"/>
              <w:bottom w:type="dxa" w:w="80"/>
              <w:right w:type="dxa" w:w="120"/>
            </w:tcMar>
            <w:vAlign w:val="center"/>
          </w:tcPr>
          <w:p>
            <w:pPr>
              <w:bidi/>
              <w:jc w:val="right"/>
            </w:pPr>
            <w:r>
              <w:rPr>
                <w:rFonts w:ascii="B Nazanin" w:cs="B Nazanin" w:eastAsia="B Nazanin" w:hAnsi="B Nazanin"/>
                <w:b/>
                <w:bCs/>
                <w:color w:val="FFFFFF"/>
                <w:sz w:val="20"/>
                <w:szCs w:val="20"/>
                <w:rtl/>
              </w:rPr>
              <w:t xml:space="preserve">نمونه‌ها</w:t>
            </w:r>
          </w:p>
        </w:tc>
      </w:tr>
      <w:tr>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فیچرهای پایه‌ی تکنیکال</w:t>
            </w:r>
          </w:p>
        </w:tc>
        <w:tc>
          <w:tcPr>
            <w:tcW w:type="dxa" w:w="11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۴۲</w:t>
            </w:r>
          </w:p>
        </w:tc>
        <w:tc>
          <w:tcPr>
            <w:tcW w:type="dxa" w:w="3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میانگین‌های متحرک، اسیلاتورها، نوسان‌پذیری، تقویم، رگرسیونِ نسبت به بازار</w:t>
            </w:r>
          </w:p>
        </w:tc>
        <w:tc>
          <w:tcPr>
            <w:tcW w:type="dxa" w:w="33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sma10/20/50، RSI، MACD، ATR، Bollinger Bands، day_of_week</w:t>
            </w:r>
          </w:p>
        </w:tc>
      </w:tr>
      <w:tr>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فیچرهای مختصِ بورسِ تهران</w:t>
            </w:r>
          </w:p>
        </w:tc>
        <w:tc>
          <w:tcPr>
            <w:tcW w:type="dxa" w:w="11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۱۲</w:t>
            </w:r>
          </w:p>
        </w:tc>
        <w:tc>
          <w:tcPr>
            <w:tcW w:type="dxa" w:w="3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ویژگی‌های ریزساختاریِ خاصِ بازارِ ایران، به‌ویژه صف‌های خرید/فروش و دامنه‌ی نوسان</w:t>
            </w:r>
          </w:p>
        </w:tc>
        <w:tc>
          <w:tcPr>
            <w:tcW w:type="dxa" w:w="33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near_upper_limit، consecutive_up_limit، price_gap، limit_exhaustion</w:t>
            </w:r>
          </w:p>
        </w:tc>
      </w:tr>
      <w:tr>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فیچرهای پیشرفته</w:t>
            </w:r>
          </w:p>
        </w:tc>
        <w:tc>
          <w:tcPr>
            <w:tcW w:type="dxa" w:w="11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۴۲</w:t>
            </w:r>
          </w:p>
        </w:tc>
        <w:tc>
          <w:tcPr>
            <w:tcW w:type="dxa" w:w="3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آنتروپی، ابعادِ فرکتال، الگوهای کندلی، تجزیه‌ی موجک، شاخص‌های نقدشوندگی</w:t>
            </w:r>
          </w:p>
        </w:tc>
        <w:tc>
          <w:tcPr>
            <w:tcW w:type="dxa" w:w="33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hurst_exp، wavelet_entropy، amihud_illiq، kama، engulfing_bull</w:t>
            </w:r>
          </w:p>
        </w:tc>
      </w:tr>
      <w:tr>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فیچرِ کلانِ اقتصادی</w:t>
            </w:r>
          </w:p>
        </w:tc>
        <w:tc>
          <w:tcPr>
            <w:tcW w:type="dxa" w:w="11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۴</w:t>
            </w:r>
          </w:p>
        </w:tc>
        <w:tc>
          <w:tcPr>
            <w:tcW w:type="dxa" w:w="3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مشتق از نرخِ دلارِ آزاد، تنها فیچرِ خارج از قیمت/حجمِ خودِ سهم</w:t>
            </w:r>
          </w:p>
        </w:tc>
        <w:tc>
          <w:tcPr>
            <w:tcW w:type="dxa" w:w="33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usd_ret، usd_ret20، usd_vol20، usd_dev_sma50</w:t>
            </w:r>
          </w:p>
        </w:tc>
      </w:tr>
    </w:tbl>
    <w:p>
      <w:pPr>
        <w:bidi/>
        <w:spacing w:after="320" w:before="100"/>
        <w:jc w:val="center"/>
      </w:pPr>
      <w:r>
        <w:rPr>
          <w:rFonts w:ascii="B Nazanin" w:cs="B Nazanin" w:eastAsia="B Nazanin" w:hAnsi="B Nazanin"/>
          <w:i/>
          <w:iCs/>
          <w:color w:val="555555"/>
          <w:sz w:val="22"/>
          <w:szCs w:val="22"/>
          <w:rtl/>
        </w:rPr>
        <w:t xml:space="preserve">جدول 1. چهار خانوادۀ فیچر و نمونه‌هایی از هر خانواده</w:t>
      </w:r>
    </w:p>
    <w:p>
      <w:pPr>
        <w:pStyle w:val="Heading2"/>
        <w:bidi/>
        <w:spacing w:after="180" w:before="360"/>
        <w:jc w:val="right"/>
      </w:pPr>
      <w:r>
        <w:rPr>
          <w:rFonts w:ascii="B Nazanin" w:cs="B Nazanin" w:eastAsia="B Nazanin" w:hAnsi="B Nazanin"/>
          <w:b/>
          <w:bCs/>
          <w:color w:val="1e3a5f"/>
          <w:sz w:val="30"/>
          <w:szCs w:val="30"/>
          <w:rtl/>
        </w:rPr>
        <w:t xml:space="preserve">۳-۴-۱ فیچرهای مختصِ بورسِ تهران</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بازارِ بورسِ تهران دارایِ دامنه‌ی نوسانِ روزانه‌ی محدود (سازوکارِ حدِ نوسان) است که پدیده‌ای به نامِ «صفِ خرید/فروش» را پدید می‌آورد: زمانی که تقاضا یا عرضه برای یک نماد آن‌قدر شدید باشد که قیمت به سقف یا کفِ مجازِ نوسان برسد، معاملات عملاً متوقف و نماد در یک صفِ چندروزه قفل می‌شود. این پدیده در بازارهایی مانندِ آمریکا یا اروپا (که موضوعِ اغلبِ مطالعاتِ مشابه‌اند) وجود ندارد و از این رو نیازمندِ فیچرهایِ اختصاصی است. فیچرهایی مانندِ «تعدادِ روزهای متوالیِ قفل در سقف/کف» و «فاصله تا حدِ نوسان» به‌طورِ صریح این رفتار را برایِ مدل قابلِ مشاهده می‌کنند.</w:t>
      </w:r>
    </w:p>
    <w:p>
      <w:pPr>
        <w:pStyle w:val="Heading2"/>
        <w:bidi/>
        <w:spacing w:after="180" w:before="360"/>
        <w:jc w:val="right"/>
      </w:pPr>
      <w:r>
        <w:rPr>
          <w:rFonts w:ascii="B Nazanin" w:cs="B Nazanin" w:eastAsia="B Nazanin" w:hAnsi="B Nazanin"/>
          <w:b/>
          <w:bCs/>
          <w:color w:val="1e3a5f"/>
          <w:sz w:val="30"/>
          <w:szCs w:val="30"/>
          <w:rtl/>
        </w:rPr>
        <w:t xml:space="preserve">۳-۴-۲ فیچرِ کلانِ اقتصادی: نرخِ دلارِ آزاد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از آن‌جا که سه تن از شش نمادِ منتخب (فولادِ مبارکه، فملی و شرکتِ نفتِ اصفهان) عمدتاً صادرات‌محورند و سودآوریِ آن‌ها به نرخِ ارزِ آزاد وابسته است، یک فیچرِ کلانِ اقتصادیِ اضافی از نرخِ روزانه‌یِ دلار به ریال ساخته شده است. برخلافِ رویه‌ی رایج، سطحِ خامِ نرخِ ارز به‌عنوانِ فیچر استفاده نمی‌شود؛ چرا که این سری در بازه‌ی موردِ مطالعه یک روندِ تقریباً یک‌طرفه‌ی صعودی دارد و استفاده از سطحِ خام می‌تواند به‌جای انتقالِ یک سیگنالِ معاملاتیِ واقعی، صرفاً «زمان» را به مدل نشت دهد (پدیده‌ای مشابهِ رگرسیونِ کاذب در اقتصادسنجیِ سری‌های زمانی). به‌جای آن، چهار فیچرِ مشتق ساخته می‌شود: بازدهِ روزانه، بازدهِ ۲۰روزه (مومنتومِ میان‌مدت)، نوسان‌پذیریِ غلتانِ ۲۰روزه، و انحرافِ نسبیِ نرخ از میانگینِ متحرکِ ۵۰روزه‌ی خودش.</w:t>
      </w:r>
    </w:p>
    <w:p>
      <w:pPr>
        <w:pStyle w:val="Heading2"/>
        <w:bidi/>
        <w:spacing w:after="180" w:before="360"/>
        <w:jc w:val="right"/>
      </w:pPr>
      <w:r>
        <w:rPr>
          <w:rFonts w:ascii="B Nazanin" w:cs="B Nazanin" w:eastAsia="B Nazanin" w:hAnsi="B Nazanin"/>
          <w:b/>
          <w:bCs/>
          <w:color w:val="1e3a5f"/>
          <w:sz w:val="30"/>
          <w:szCs w:val="30"/>
          <w:rtl/>
        </w:rPr>
        <w:t xml:space="preserve">۳-۴-۳ استانداردسازی و مدیریتِ مقادیرِ پرت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پیش از ورود به مرحله‌ی مدل‌سازی، مقادیرِ پرتِ هر فیچر با برشِ آماری در بازه‌ی صد انحراف‌معیار از میانه محدود می‌شوند و مقادیرِ گمشده با میانه‌ی همان فیچر (محاسبه‌شده صرفاً روی داده‌ی آموزش، نه کلِ سری) پر می‌شوند. استانداردسازیِ نهاییِ فیچرها با RobustScaler (مبتنی بر میانه و دامنه‌ی میان‌چارکی، نه میانگین و انحراف‌معیار) انجام می‌شود؛ این انتخاب به‌طورِ خاص برایِ داده‌ی مالی مناسب است چرا که در برابرِ دنباله‌های سنگین و مقادیرِ حدیِ ناشی از نوسان‌های شدید، مقاوم‌تر از استانداردسازیِ کلاسیک عمل می‌کند. اسکیلر نیز — همانندِ محاسبه‌ی میانه برایِ پرکردنِ مقادیرِ گمشده — تنها روی بخشِ آموزشِ داده برازش می‌شود تا از نشتِ آماریِ اطلاعاتِ آینده به گذشته جلوگیری شود.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۳-۵ — تعریفِ برچسب و افقِ پیش‌بینیِ چندگانه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مسئله‌ی یادگیری در این پژوهش به‌صورتِ یک طبقه‌بندیِ دوکلاسه صورت‌بندی شده است: آیا بازدهیِ آینده‌ی سهم در یک افقِ H روزه از میانه‌ی بازدهیِ تاریخیِ همان سهم (محاسبه‌شده روی داده‌ی آموزش) بیشتر خواهد بود یا خیر. بازدهیِ رو‌به‌جلو با رابطه‌ی زیر تعریف می‌شود:</w:t>
      </w:r>
    </w:p>
    <w:p>
      <w:pPr>
        <w:spacing w:after="120" w:before="120"/>
        <w:jc w:val="center"/>
      </w:pPr>
      <w:r>
        <w:drawing>
          <wp:inline distT="0" distB="0" distL="0" distR="0">
            <wp:extent cx="30480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48000" cy="923925"/>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و برچسبِ دودویی به‌صورتِ زیر ساخته می‌شود:</w:t>
      </w:r>
    </w:p>
    <w:p>
      <w:pPr>
        <w:spacing w:after="120" w:before="120"/>
        <w:jc w:val="center"/>
      </w:pPr>
      <w:r>
        <w:drawing>
          <wp:inline distT="0" distB="0" distL="0" distR="0">
            <wp:extent cx="4762500" cy="44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447675"/>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استفاده از میانه به‌جای یک آستانه‌ی مطلق (مانندِ صفر) عمداً انتخاب شده تا توزیعِ کلاس‌ها متوازن بماند و مدل با مسئله‌ی عدم‌توازنِ شدید (که در طبقه‌بندیِ جهتِ قیمت رایج است) مواجه نشود.</w:t>
      </w:r>
    </w:p>
    <w:p>
      <w:pPr>
        <w:pStyle w:val="Heading2"/>
        <w:bidi/>
        <w:spacing w:after="180" w:before="360"/>
        <w:jc w:val="right"/>
      </w:pPr>
      <w:r>
        <w:rPr>
          <w:rFonts w:ascii="B Nazanin" w:cs="B Nazanin" w:eastAsia="B Nazanin" w:hAnsi="B Nazanin"/>
          <w:b/>
          <w:bCs/>
          <w:color w:val="1e3a5f"/>
          <w:sz w:val="30"/>
          <w:szCs w:val="30"/>
          <w:rtl/>
        </w:rPr>
        <w:t xml:space="preserve">۳-۵-۱ چرا افقِ ثابتِ پنج‌روزه کافی نیست؟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بسیاری از پژوهش‌های مشابه، افقِ پیش‌بینی (و متناظراً، طولِ فرضیِ نگهداریِ آپشن در بک‌تست) یک عددِ ثابت و دلبخواهی — رایج‌ترین آن پنج روزِ معاملاتی، معادلِ یک هفته — برایِ همه‌ی دارایی‌ها در نظر گرفته می‌شود. این پژوهش این فرض را به چالش می‌کشد: نقدشوندگی، دامنه‌ی نوسان و پویاییِ قیمتیِ هر نماد متفاوت است، و افقِ بهینه برایِ کشفِ الگو نیز می‌تواند متفاوت باشد. به‌جای تحمیلِ یک افقِ ثابت، یک </w:t>
      </w:r>
      <w:r>
        <w:rPr>
          <w:rFonts w:ascii="B Nazanin" w:cs="B Nazanin" w:eastAsia="B Nazanin" w:hAnsi="B Nazanin"/>
          <w:b/>
          <w:bCs/>
          <w:i w:val="false"/>
          <w:iCs w:val="false"/>
          <w:color w:val="1a1a1a"/>
          <w:sz w:val="26"/>
          <w:szCs w:val="26"/>
          <w:rtl/>
        </w:rPr>
        <w:t xml:space="preserve">تورنمنتِ انتخابِ افق</w:t>
      </w:r>
      <w:r>
        <w:rPr>
          <w:rFonts w:ascii="B Nazanin" w:cs="B Nazanin" w:eastAsia="B Nazanin" w:hAnsi="B Nazanin"/>
          <w:b w:val="false"/>
          <w:bCs w:val="false"/>
          <w:i w:val="false"/>
          <w:iCs w:val="false"/>
          <w:color w:val="1a1a1a"/>
          <w:sz w:val="26"/>
          <w:szCs w:val="26"/>
          <w:rtl/>
        </w:rPr>
        <w:t xml:space="preserve"> پیش از مرحله‌ی اصلیِ مدل‌سازی اجرا می‌شود.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تورنمنت به‌ازای هر نماد، مجموعه‌ای از افق‌های کاندید (۳، ۵، ۱۰، ۱۵ و ۲۰ روزِ معاملاتی) را با یک مدلِ سبک و ثابت (LightGBM با ابرپارامترهایِ معقولِ ثابت، بدونِ بهینه‌سازیِ ابرپارامتر) روی چند برشِ اعتبارسنجیِ غلتانِ زمانی می‌سنجد و افقِ برنده را صرفاً بر پایه‌ی میانگینِ AUC روی این برش‌های اعتبارسنجی انتخاب می‌کند — هرگز با نگاه به مجموعه‌ی آزمون. این قید حیاتی است: اگر افق بر پایه‌ی عملکرد روی آزمون انتخاب می‌شد، خودِ فرایندِ انتخاب به شکلی از نشتِ اطلاعات (نوعی جست‌وجوی بیش‌برازش‌یافته در فضایِ ابرپارامترها) تبدیل می‌شد. به‌منظورِ شفافیتِ کامل و پیشگیری از هرگونه شائبه‌ی گزینشِ نتیجه‌محور، عملکردِ همه‌ی افق‌های کاندید — نه فقط افقِ برنده — به‌طورِ کامل ثبت و گزارش می‌شود.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افقِ برگزیده‌ی هر نماد، پس از انتخاب، در سراسرِ خط‌لوله به‌طورِ یکدست جاری می‌شود: در فاصله‌ی حذفِ آموزنده‌ی تفکیکِ داده (بخش ۳-۶)، در اعتبارسنجیِ برون‌نمونه‌ایِ یادگیریِ ترکیبی (بخش ۳-۸)، در اعتبارسنجیِ غلتانِ زمانی (بخش ۳-۹)، در فرضِ طولِ‌عمرِ آپشن برای قیمت‌گذاریِ بلک-شولز (بخش ۳-۱۰)، و در سالانه‌سازیِ معیارهای ریسک و بازده. این یکدستی تضمین می‌کند که فرضِ افق در همه‌جای سامانه هم‌راستا باقی بماند.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۳-۶ — تفکیکِ داده بدونِ نشتِ اطلاعات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چون برچسبِ هر ردیف به بازدهیِ </w:t>
      </w:r>
      <w:r>
        <w:rPr>
          <w:rFonts w:ascii="B Nazanin" w:cs="B Nazanin" w:eastAsia="B Nazanin" w:hAnsi="B Nazanin"/>
          <w:b w:val="false"/>
          <w:bCs w:val="false"/>
          <w:i/>
          <w:iCs/>
          <w:color w:val="1a1a1a"/>
          <w:sz w:val="26"/>
          <w:szCs w:val="26"/>
          <w:rtl/>
        </w:rPr>
        <w:t xml:space="preserve">H</w:t>
      </w:r>
      <w:r>
        <w:rPr>
          <w:rFonts w:ascii="B Nazanin" w:cs="B Nazanin" w:eastAsia="B Nazanin" w:hAnsi="B Nazanin"/>
          <w:b w:val="false"/>
          <w:bCs w:val="false"/>
          <w:i w:val="false"/>
          <w:iCs w:val="false"/>
          <w:color w:val="1a1a1a"/>
          <w:sz w:val="26"/>
          <w:szCs w:val="26"/>
          <w:rtl/>
        </w:rPr>
        <w:t xml:space="preserve"> روزِ آینده نگاه می‌کند، یک تفکیکِ ساده‌ی زمانیِ آموزش/اعتبارسنجی/آزمون (بدونِ تمهیدِ ویژه) در مرزِ هر بخش دچارِ نشتِ اطلاعات می‌شود: چند ردیفِ پایانیِ هر بخش برچسبی دارند که به قیمت‌های درونِ بخشِ بعدی وابسته است. برایِ رفعِ این مشکل — که در ادبیاتِ یادگیریِ ماشینِ مالی با عنوانِ </w:t>
      </w:r>
      <w:r>
        <w:rPr>
          <w:rFonts w:ascii="B Nazanin" w:cs="B Nazanin" w:eastAsia="B Nazanin" w:hAnsi="B Nazanin"/>
          <w:b/>
          <w:bCs/>
          <w:i w:val="false"/>
          <w:iCs w:val="false"/>
          <w:color w:val="1a1a1a"/>
          <w:sz w:val="26"/>
          <w:szCs w:val="26"/>
          <w:rtl/>
        </w:rPr>
        <w:t xml:space="preserve">تفکیکِ زمانیِ حذف‌شده (Purged Time-Series Split)</w:t>
      </w:r>
      <w:r>
        <w:rPr>
          <w:rFonts w:ascii="B Nazanin" w:cs="B Nazanin" w:eastAsia="B Nazanin" w:hAnsi="B Nazanin"/>
          <w:b w:val="false"/>
          <w:bCs w:val="false"/>
          <w:i w:val="false"/>
          <w:iCs w:val="false"/>
          <w:color w:val="1a1a1a"/>
          <w:sz w:val="26"/>
          <w:szCs w:val="26"/>
          <w:rtl/>
        </w:rPr>
        <w:t xml:space="preserve"> شناخته می‌شود — یک فاصله‌ی حذفِ آموزنده به بزرگیِ دقیقاً H ردیف، بینِ انتهایِ هر بخش و ابتدایِ بخشِ بعدی درج می‌شود.</w:t>
      </w:r>
    </w:p>
    <w:p>
      <w:pPr>
        <w:spacing w:after="80" w:before="200"/>
        <w:jc w:val="center"/>
      </w:pPr>
      <w:r>
        <w:drawing>
          <wp:inline distT="0" distB="0" distL="0" distR="0">
            <wp:extent cx="53340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209800"/>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2. تفکیکِ زمانیِ حذف‌شده با فاصله‌ی متناسب با افقِ پیش‌بینی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مرزهایِ سه بخش با نسبت‌های هفتاد، پانزده و پانزده درصد (به‌ترتیب برایِ آموزش، اعتبارسنجی و آزمون) و با رابطه‌ی زیر تعیین می‌شوند:</w:t>
      </w:r>
    </w:p>
    <w:p>
      <w:pPr>
        <w:spacing w:after="120" w:before="120"/>
        <w:jc w:val="center"/>
      </w:pPr>
      <w:r>
        <w:drawing>
          <wp:inline distT="0" distB="0" distL="0" distR="0">
            <wp:extent cx="43815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323850"/>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این رابطه، </w:t>
      </w:r>
      <w:r>
        <w:rPr>
          <w:rFonts w:ascii="B Nazanin" w:cs="B Nazanin" w:eastAsia="B Nazanin" w:hAnsi="B Nazanin"/>
          <w:b w:val="false"/>
          <w:bCs w:val="false"/>
          <w:i/>
          <w:iCs/>
          <w:color w:val="1a1a1a"/>
          <w:sz w:val="26"/>
          <w:szCs w:val="26"/>
          <w:rtl/>
        </w:rPr>
        <w:t xml:space="preserve">t₁</w:t>
      </w:r>
      <w:r>
        <w:rPr>
          <w:rFonts w:ascii="B Nazanin" w:cs="B Nazanin" w:eastAsia="B Nazanin" w:hAnsi="B Nazanin"/>
          <w:b w:val="false"/>
          <w:bCs w:val="false"/>
          <w:i w:val="false"/>
          <w:iCs w:val="false"/>
          <w:color w:val="1a1a1a"/>
          <w:sz w:val="26"/>
          <w:szCs w:val="26"/>
          <w:rtl/>
        </w:rPr>
        <w:t xml:space="preserve"> و </w:t>
      </w:r>
      <w:r>
        <w:rPr>
          <w:rFonts w:ascii="B Nazanin" w:cs="B Nazanin" w:eastAsia="B Nazanin" w:hAnsi="B Nazanin"/>
          <w:b w:val="false"/>
          <w:bCs w:val="false"/>
          <w:i/>
          <w:iCs/>
          <w:color w:val="1a1a1a"/>
          <w:sz w:val="26"/>
          <w:szCs w:val="26"/>
          <w:rtl/>
        </w:rPr>
        <w:t xml:space="preserve">t₂</w:t>
      </w:r>
      <w:r>
        <w:rPr>
          <w:rFonts w:ascii="B Nazanin" w:cs="B Nazanin" w:eastAsia="B Nazanin" w:hAnsi="B Nazanin"/>
          <w:b w:val="false"/>
          <w:bCs w:val="false"/>
          <w:i w:val="false"/>
          <w:iCs w:val="false"/>
          <w:color w:val="1a1a1a"/>
          <w:sz w:val="26"/>
          <w:szCs w:val="26"/>
          <w:rtl/>
        </w:rPr>
        <w:t xml:space="preserve"> به‌ترتیب مرزهایِ خامِ آموزش/اعتبارسنجی و اعتبارسنجی/آزمون (بدونِ حذف) و </w:t>
      </w:r>
      <w:r>
        <w:rPr>
          <w:rFonts w:ascii="B Nazanin" w:cs="B Nazanin" w:eastAsia="B Nazanin" w:hAnsi="B Nazanin"/>
          <w:b w:val="false"/>
          <w:bCs w:val="false"/>
          <w:i/>
          <w:iCs/>
          <w:color w:val="1a1a1a"/>
          <w:sz w:val="26"/>
          <w:szCs w:val="26"/>
          <w:rtl/>
        </w:rPr>
        <w:t xml:space="preserve">n</w:t>
      </w:r>
      <w:r>
        <w:rPr>
          <w:rFonts w:ascii="B Nazanin" w:cs="B Nazanin" w:eastAsia="B Nazanin" w:hAnsi="B Nazanin"/>
          <w:b w:val="false"/>
          <w:bCs w:val="false"/>
          <w:i w:val="false"/>
          <w:iCs w:val="false"/>
          <w:color w:val="1a1a1a"/>
          <w:sz w:val="26"/>
          <w:szCs w:val="26"/>
          <w:rtl/>
        </w:rPr>
        <w:t xml:space="preserve"> طولِ کلِ سری هستند. اندازه‌ی مجموعه‌ی آزمون بدونِ تغییر باقی می‌ماند تا مقایسه‌ها میانِ نمادها و نسخه‌های مختلفِ سامانه منصفانه بماند؛ تنها انتهایِ بخش‌های آموزش و اعتبارسنجی اندکی کوتاه‌تر می‌شوند. اسکیلر (بخش ۳-۴-۳) و آماره‌های میانه‌ی موردِ نیاز برایِ ساختنِ برچسب (بخش ۳-۵) هر دو صرفاً روی بخشِ آموزش برازش می‌شوند.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۳-۷ — معماریِ مدل‌های یادگیریِ ماشین و یادگیریِ عمیق</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هسته‌ی مرکزیِ سامانه یک تورنمنتِ نُه‌مدلی است که در آن هر مدل به‌طورِ مستقل با استفاده از چارچوبِ بهینه‌سازیِ بیزیِ Optuna تنظیمِ ابرپارامتر می‌شود و بر پایه‌ی AUC روی مجموعه‌ی اعتبارسنجی رتبه‌بندی می‌گردد. جدولِ ۲ فهرستِ کاملِ این نُه مدل، همراه با تعدادِ آزمایش‌های بهینه‌سازیِ ابرپارامتر (Optuna trial) اختصاص‌یافته به هرکدام را نشان می‌دهد.</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3200"/>
        <w:gridCol w:w="2600"/>
      </w:tblGrid>
      <w:tr>
        <w:tc>
          <w:tcPr>
            <w:tcW w:type="dxa" w:w="9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21"/>
                <w:szCs w:val="21"/>
                <w:rtl/>
              </w:rPr>
              <w:t xml:space="preserve">ردیف</w:t>
            </w:r>
          </w:p>
        </w:tc>
        <w:tc>
          <w:tcPr>
            <w:tcW w:type="dxa" w:w="29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21"/>
                <w:szCs w:val="21"/>
                <w:rtl/>
              </w:rPr>
              <w:t xml:space="preserve">مدل</w:t>
            </w:r>
          </w:p>
        </w:tc>
        <w:tc>
          <w:tcPr>
            <w:tcW w:type="dxa" w:w="32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21"/>
                <w:szCs w:val="21"/>
                <w:rtl/>
              </w:rPr>
              <w:t xml:space="preserve">خانواده</w:t>
            </w:r>
          </w:p>
        </w:tc>
        <w:tc>
          <w:tcPr>
            <w:tcW w:type="dxa" w:w="26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21"/>
                <w:szCs w:val="21"/>
                <w:rtl/>
              </w:rPr>
              <w:t xml:space="preserve">تعدادِ Optuna trial</w:t>
            </w:r>
          </w:p>
        </w:tc>
      </w:tr>
      <w:tr>
        <w:tc>
          <w:tcPr>
            <w:tcW w:type="dxa" w:w="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1"/>
                <w:szCs w:val="21"/>
                <w:rtl/>
              </w:rPr>
              <w:t xml:space="preserve">۱</w:t>
            </w:r>
          </w:p>
        </w:tc>
        <w:tc>
          <w:tcPr>
            <w:tcW w:type="dxa" w:w="2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1"/>
                <w:szCs w:val="21"/>
                <w:rtl/>
              </w:rPr>
              <w:t xml:space="preserve">LightGBM</w:t>
            </w:r>
          </w:p>
        </w:tc>
        <w:tc>
          <w:tcPr>
            <w:tcW w:type="dxa" w:w="3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1"/>
                <w:szCs w:val="21"/>
                <w:rtl/>
              </w:rPr>
              <w:t xml:space="preserve">گرادیان‌بوستینگِ درختی</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1"/>
                <w:szCs w:val="21"/>
                <w:rtl/>
              </w:rPr>
              <w:t xml:space="preserve">۶۰</w:t>
            </w:r>
          </w:p>
        </w:tc>
      </w:tr>
      <w:tr>
        <w:tc>
          <w:tcPr>
            <w:tcW w:type="dxa" w:w="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1"/>
                <w:szCs w:val="21"/>
                <w:rtl/>
              </w:rPr>
              <w:t xml:space="preserve">۲</w:t>
            </w:r>
          </w:p>
        </w:tc>
        <w:tc>
          <w:tcPr>
            <w:tcW w:type="dxa" w:w="2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1"/>
                <w:szCs w:val="21"/>
                <w:rtl/>
              </w:rPr>
              <w:t xml:space="preserve">XGBoost</w:t>
            </w:r>
          </w:p>
        </w:tc>
        <w:tc>
          <w:tcPr>
            <w:tcW w:type="dxa" w:w="3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1"/>
                <w:szCs w:val="21"/>
                <w:rtl/>
              </w:rPr>
              <w:t xml:space="preserve">گرادیان‌بوستینگِ درختی</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1"/>
                <w:szCs w:val="21"/>
                <w:rtl/>
              </w:rPr>
              <w:t xml:space="preserve">۴۰</w:t>
            </w:r>
          </w:p>
        </w:tc>
      </w:tr>
      <w:tr>
        <w:tc>
          <w:tcPr>
            <w:tcW w:type="dxa" w:w="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1"/>
                <w:szCs w:val="21"/>
                <w:rtl/>
              </w:rPr>
              <w:t xml:space="preserve">۳</w:t>
            </w:r>
          </w:p>
        </w:tc>
        <w:tc>
          <w:tcPr>
            <w:tcW w:type="dxa" w:w="2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1"/>
                <w:szCs w:val="21"/>
                <w:rtl/>
              </w:rPr>
              <w:t xml:space="preserve">Random Forest</w:t>
            </w:r>
          </w:p>
        </w:tc>
        <w:tc>
          <w:tcPr>
            <w:tcW w:type="dxa" w:w="3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1"/>
                <w:szCs w:val="21"/>
                <w:rtl/>
              </w:rPr>
              <w:t xml:space="preserve">جنگلِ تصادفی</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1"/>
                <w:szCs w:val="21"/>
                <w:rtl/>
              </w:rPr>
              <w:t xml:space="preserve">۳۰</w:t>
            </w:r>
          </w:p>
        </w:tc>
      </w:tr>
      <w:tr>
        <w:tc>
          <w:tcPr>
            <w:tcW w:type="dxa" w:w="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1"/>
                <w:szCs w:val="21"/>
                <w:rtl/>
              </w:rPr>
              <w:t xml:space="preserve">۴</w:t>
            </w:r>
          </w:p>
        </w:tc>
        <w:tc>
          <w:tcPr>
            <w:tcW w:type="dxa" w:w="2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1"/>
                <w:szCs w:val="21"/>
                <w:rtl/>
              </w:rPr>
              <w:t xml:space="preserve">CatBoost</w:t>
            </w:r>
          </w:p>
        </w:tc>
        <w:tc>
          <w:tcPr>
            <w:tcW w:type="dxa" w:w="3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1"/>
                <w:szCs w:val="21"/>
                <w:rtl/>
              </w:rPr>
              <w:t xml:space="preserve">گرادیان‌بوستینگِ درختی</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1"/>
                <w:szCs w:val="21"/>
                <w:rtl/>
              </w:rPr>
              <w:t xml:space="preserve">۴۰</w:t>
            </w:r>
          </w:p>
        </w:tc>
      </w:tr>
      <w:tr>
        <w:tc>
          <w:tcPr>
            <w:tcW w:type="dxa" w:w="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1"/>
                <w:szCs w:val="21"/>
                <w:rtl/>
              </w:rPr>
              <w:t xml:space="preserve">۵</w:t>
            </w:r>
          </w:p>
        </w:tc>
        <w:tc>
          <w:tcPr>
            <w:tcW w:type="dxa" w:w="2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1"/>
                <w:szCs w:val="21"/>
                <w:rtl/>
              </w:rPr>
              <w:t xml:space="preserve">MLP</w:t>
            </w:r>
          </w:p>
        </w:tc>
        <w:tc>
          <w:tcPr>
            <w:tcW w:type="dxa" w:w="3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1"/>
                <w:szCs w:val="21"/>
                <w:rtl/>
              </w:rPr>
              <w:t xml:space="preserve">شبکه‌ی عصبیِ پیش‌خور</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1"/>
                <w:szCs w:val="21"/>
                <w:rtl/>
              </w:rPr>
              <w:t xml:space="preserve">۳۰</w:t>
            </w:r>
          </w:p>
        </w:tc>
      </w:tr>
      <w:tr>
        <w:tc>
          <w:tcPr>
            <w:tcW w:type="dxa" w:w="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1"/>
                <w:szCs w:val="21"/>
                <w:rtl/>
              </w:rPr>
              <w:t xml:space="preserve">۶</w:t>
            </w:r>
          </w:p>
        </w:tc>
        <w:tc>
          <w:tcPr>
            <w:tcW w:type="dxa" w:w="2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1"/>
                <w:szCs w:val="21"/>
                <w:rtl/>
              </w:rPr>
              <w:t xml:space="preserve">LSTM + Attention</w:t>
            </w:r>
          </w:p>
        </w:tc>
        <w:tc>
          <w:tcPr>
            <w:tcW w:type="dxa" w:w="3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1"/>
                <w:szCs w:val="21"/>
                <w:rtl/>
              </w:rPr>
              <w:t xml:space="preserve">شبکه‌ی عصبیِ بازگشتی</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1"/>
                <w:szCs w:val="21"/>
                <w:rtl/>
              </w:rPr>
              <w:t xml:space="preserve">۲۵</w:t>
            </w:r>
          </w:p>
        </w:tc>
      </w:tr>
      <w:tr>
        <w:tc>
          <w:tcPr>
            <w:tcW w:type="dxa" w:w="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1"/>
                <w:szCs w:val="21"/>
                <w:rtl/>
              </w:rPr>
              <w:t xml:space="preserve">۷</w:t>
            </w:r>
          </w:p>
        </w:tc>
        <w:tc>
          <w:tcPr>
            <w:tcW w:type="dxa" w:w="2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1"/>
                <w:szCs w:val="21"/>
                <w:rtl/>
              </w:rPr>
              <w:t xml:space="preserve">CNN-LSTM</w:t>
            </w:r>
          </w:p>
        </w:tc>
        <w:tc>
          <w:tcPr>
            <w:tcW w:type="dxa" w:w="3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1"/>
                <w:szCs w:val="21"/>
                <w:rtl/>
              </w:rPr>
              <w:t xml:space="preserve">شبکه‌ی عصبیِ ترکیبی</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1"/>
                <w:szCs w:val="21"/>
                <w:rtl/>
              </w:rPr>
              <w:t xml:space="preserve">۲۵</w:t>
            </w:r>
          </w:p>
        </w:tc>
      </w:tr>
      <w:tr>
        <w:tc>
          <w:tcPr>
            <w:tcW w:type="dxa" w:w="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1"/>
                <w:szCs w:val="21"/>
                <w:rtl/>
              </w:rPr>
              <w:t xml:space="preserve">۸</w:t>
            </w:r>
          </w:p>
        </w:tc>
        <w:tc>
          <w:tcPr>
            <w:tcW w:type="dxa" w:w="2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1"/>
                <w:szCs w:val="21"/>
                <w:rtl/>
              </w:rPr>
              <w:t xml:space="preserve">StackingClassifier</w:t>
            </w:r>
          </w:p>
        </w:tc>
        <w:tc>
          <w:tcPr>
            <w:tcW w:type="dxa" w:w="3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1"/>
                <w:szCs w:val="21"/>
                <w:rtl/>
              </w:rPr>
              <w:t xml:space="preserve">یادگیریِ ترکیبی</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1"/>
                <w:szCs w:val="21"/>
                <w:rtl/>
              </w:rPr>
              <w:t xml:space="preserve">—</w:t>
            </w:r>
          </w:p>
        </w:tc>
      </w:tr>
      <w:tr>
        <w:tc>
          <w:tcPr>
            <w:tcW w:type="dxa" w:w="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1"/>
                <w:szCs w:val="21"/>
                <w:rtl/>
              </w:rPr>
              <w:t xml:space="preserve">۹</w:t>
            </w:r>
          </w:p>
        </w:tc>
        <w:tc>
          <w:tcPr>
            <w:tcW w:type="dxa" w:w="2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1"/>
                <w:szCs w:val="21"/>
                <w:rtl/>
              </w:rPr>
              <w:t xml:space="preserve">VotingClassifier</w:t>
            </w:r>
          </w:p>
        </w:tc>
        <w:tc>
          <w:tcPr>
            <w:tcW w:type="dxa" w:w="3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1"/>
                <w:szCs w:val="21"/>
                <w:rtl/>
              </w:rPr>
              <w:t xml:space="preserve">یادگیریِ ترکیبی</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1"/>
                <w:szCs w:val="21"/>
                <w:rtl/>
              </w:rPr>
              <w:t xml:space="preserve">—</w:t>
            </w:r>
          </w:p>
        </w:tc>
      </w:tr>
    </w:tbl>
    <w:p>
      <w:pPr>
        <w:bidi/>
        <w:spacing w:after="320" w:before="100"/>
        <w:jc w:val="center"/>
      </w:pPr>
      <w:r>
        <w:rPr>
          <w:rFonts w:ascii="B Nazanin" w:cs="B Nazanin" w:eastAsia="B Nazanin" w:hAnsi="B Nazanin"/>
          <w:i/>
          <w:iCs/>
          <w:color w:val="555555"/>
          <w:sz w:val="22"/>
          <w:szCs w:val="22"/>
          <w:rtl/>
        </w:rPr>
        <w:t xml:space="preserve">جدول 2. نُه مدلِ تورنمنت و تعدادِ آزمایش‌هایِ بهینه‌سازیِ ابرپارامتر</w:t>
      </w:r>
    </w:p>
    <w:p>
      <w:pPr>
        <w:pStyle w:val="Heading2"/>
        <w:bidi/>
        <w:spacing w:after="180" w:before="360"/>
        <w:jc w:val="right"/>
      </w:pPr>
      <w:r>
        <w:rPr>
          <w:rFonts w:ascii="B Nazanin" w:cs="B Nazanin" w:eastAsia="B Nazanin" w:hAnsi="B Nazanin"/>
          <w:b/>
          <w:bCs/>
          <w:color w:val="1e3a5f"/>
          <w:sz w:val="30"/>
          <w:szCs w:val="30"/>
          <w:rtl/>
        </w:rPr>
        <w:t xml:space="preserve">۳-۷-۱ مدل‌های درختیِ گرادیان‌بوستینگ و جنگلِ تصادفی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چهار مدلِ اول — LightGBM، XGBoost، Random Forest و CatBoost — نمایندگانِ خانواده‌ی مدل‌های درختیِ گروهی هستند که در ادبیاتِ پیش‌بینیِ سری‌های زمانیِ مالی به‌طورِ مستمر عملکردِ رقابتی نشان داده‌اند. این مدل‌ها هر ردیف را مستقل از ردیف‌های دیگر پردازش می‌کنند (بدونِ حافظه‌ی صریحِ زمانی) و اتکایشان به تعاملِ غیرخطیِ فیچرها، نه به توالیِ آن‌ها، است. برایِ سه مدلِ اول از این چهار مدل — که از وزن‌دهیِ نمونه پشتیبانی می‌کنند — یک طرحِ وزن‌دهیِ نمایی موسوم به «وزن‌دهیِ نزدیکی‌به‌زمانِ‌حال» نیز اعمال می‌شود (بخش ۳-۷-۵).</w:t>
      </w:r>
    </w:p>
    <w:p>
      <w:pPr>
        <w:pStyle w:val="Heading2"/>
        <w:bidi/>
        <w:spacing w:after="180" w:before="360"/>
        <w:jc w:val="right"/>
      </w:pPr>
      <w:r>
        <w:rPr>
          <w:rFonts w:ascii="B Nazanin" w:cs="B Nazanin" w:eastAsia="B Nazanin" w:hAnsi="B Nazanin"/>
          <w:b/>
          <w:bCs/>
          <w:color w:val="1e3a5f"/>
          <w:sz w:val="30"/>
          <w:szCs w:val="30"/>
          <w:rtl/>
        </w:rPr>
        <w:t xml:space="preserve">۳-۷-۲ پرسپترونِ چندلایه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پرسپترونِ چندلایه (MLP) به‌عنوانِ نماینده‌ی خانواده‌ی شبکه‌های عصبیِ پیش‌خور در تورنمنت حضور دارد. برخلافِ مدل‌های درختی، MLP قادر به یادگیریِ ترکیب‌های غیرخطیِ پیوسته‌ی فیچرهاست، اما همانندِ آن‌ها هر ردیف را مستقل می‌بیند و فاقدِ ساختارِ صریحِ توالیِ زمانی است. تعدادِ لایه‌های پنهان، اندازه‌ی هر لایه، نرخِ یادگیری و ضریبِ منظم‌سازی همگی از طریقِ Optuna تنظیم می‌شوند.</w:t>
      </w:r>
    </w:p>
    <w:p>
      <w:pPr>
        <w:pStyle w:val="Heading2"/>
        <w:bidi/>
        <w:spacing w:after="180" w:before="360"/>
        <w:jc w:val="right"/>
      </w:pPr>
      <w:r>
        <w:rPr>
          <w:rFonts w:ascii="B Nazanin" w:cs="B Nazanin" w:eastAsia="B Nazanin" w:hAnsi="B Nazanin"/>
          <w:b/>
          <w:bCs/>
          <w:color w:val="1e3a5f"/>
          <w:sz w:val="30"/>
          <w:szCs w:val="30"/>
          <w:rtl/>
        </w:rPr>
        <w:t xml:space="preserve">۳-۷-۳ شبکه‌ی بازگشتیِ LSTM با مکانیزمِ توجه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تنها مدلِ این تورنمنت که به‌طورِ صریح توالیِ زمانی را می‌بیند — نه فقط مقدارِ فیچرها در یک روزِ منفرد — شبکه‌ی حافظه‌ی کوتاه‌مدتِ بلندمدت (LSTM) است. برخلافِ مدل‌های پیشین که هر ردیف را مستقل پردازش می‌کنند، این مدل روی یک پنجره‌ی متحرک از H تا چهل روزِ اخیر (پارامترِ window، خود یکی از ابعادِ بهینه‌سازیِ Optuna) آموزش می‌بیند.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معادلاتِ به‌روزرسانیِ استانداردِ یک سلولِ LSTM به‌صورتِ زیر است — با دروازه‌های فراموشی (f)، ورودی (i) و خروجی (o)، و حالتِ سلولیِ c:</w:t>
      </w:r>
    </w:p>
    <w:p>
      <w:pPr>
        <w:spacing w:after="120" w:before="120"/>
        <w:jc w:val="center"/>
      </w:pPr>
      <w:r>
        <w:drawing>
          <wp:inline distT="0" distB="0" distL="0" distR="0">
            <wp:extent cx="5810250" cy="54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0" cy="542925"/>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به‌جای اتکا صرفاً به آخرین گامِ زمانیِ خروجیِ LSTM، یک مکانیزمِ </w:t>
      </w:r>
      <w:r>
        <w:rPr>
          <w:rFonts w:ascii="B Nazanin" w:cs="B Nazanin" w:eastAsia="B Nazanin" w:hAnsi="B Nazanin"/>
          <w:b/>
          <w:bCs/>
          <w:i w:val="false"/>
          <w:iCs w:val="false"/>
          <w:color w:val="1a1a1a"/>
          <w:sz w:val="26"/>
          <w:szCs w:val="26"/>
          <w:rtl/>
        </w:rPr>
        <w:t xml:space="preserve">توجهِ افزایشی (Additive Attention)</w:t>
      </w:r>
      <w:r>
        <w:rPr>
          <w:rFonts w:ascii="B Nazanin" w:cs="B Nazanin" w:eastAsia="B Nazanin" w:hAnsi="B Nazanin"/>
          <w:b w:val="false"/>
          <w:bCs w:val="false"/>
          <w:i w:val="false"/>
          <w:iCs w:val="false"/>
          <w:color w:val="1a1a1a"/>
          <w:sz w:val="26"/>
          <w:szCs w:val="26"/>
          <w:rtl/>
        </w:rPr>
        <w:t xml:space="preserve"> روی خروجیِ تمامِ گام‌های زمانیِ پنجره اعمال می‌شود؛ مدل به این ترتیب یاد می‌گیرد کدام روزهای پنجره برایِ تصمیمِ نهایی وزنِ بیشتری داشته باشند، به‌جای فرضِ ثابتِ اینکه «آخرین روز همیشه مهم‌ترین است»:</w:t>
      </w:r>
    </w:p>
    <w:p>
      <w:pPr>
        <w:spacing w:after="120" w:before="120"/>
        <w:jc w:val="center"/>
      </w:pPr>
      <w:r>
        <w:drawing>
          <wp:inline distT="0" distB="0" distL="0" distR="0">
            <wp:extent cx="5334000" cy="99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990600"/>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این رابطه، </w:t>
      </w:r>
      <w:r>
        <w:rPr>
          <w:rFonts w:ascii="B Nazanin" w:cs="B Nazanin" w:eastAsia="B Nazanin" w:hAnsi="B Nazanin"/>
          <w:b w:val="false"/>
          <w:bCs w:val="false"/>
          <w:i/>
          <w:iCs/>
          <w:color w:val="1a1a1a"/>
          <w:sz w:val="26"/>
          <w:szCs w:val="26"/>
          <w:rtl/>
        </w:rPr>
        <w:t xml:space="preserve">v</w:t>
      </w:r>
      <w:r>
        <w:rPr>
          <w:rFonts w:ascii="B Nazanin" w:cs="B Nazanin" w:eastAsia="B Nazanin" w:hAnsi="B Nazanin"/>
          <w:b w:val="false"/>
          <w:bCs w:val="false"/>
          <w:i w:val="false"/>
          <w:iCs w:val="false"/>
          <w:color w:val="1a1a1a"/>
          <w:sz w:val="26"/>
          <w:szCs w:val="26"/>
          <w:rtl/>
        </w:rPr>
        <w:t xml:space="preserve"> و </w:t>
      </w:r>
      <w:r>
        <w:rPr>
          <w:rFonts w:ascii="B Nazanin" w:cs="B Nazanin" w:eastAsia="B Nazanin" w:hAnsi="B Nazanin"/>
          <w:b w:val="false"/>
          <w:bCs w:val="false"/>
          <w:i/>
          <w:iCs/>
          <w:color w:val="1a1a1a"/>
          <w:sz w:val="26"/>
          <w:szCs w:val="26"/>
          <w:rtl/>
        </w:rPr>
        <w:t xml:space="preserve">Wₐ</w:t>
      </w:r>
      <w:r>
        <w:rPr>
          <w:rFonts w:ascii="B Nazanin" w:cs="B Nazanin" w:eastAsia="B Nazanin" w:hAnsi="B Nazanin"/>
          <w:b w:val="false"/>
          <w:bCs w:val="false"/>
          <w:i w:val="false"/>
          <w:iCs w:val="false"/>
          <w:color w:val="1a1a1a"/>
          <w:sz w:val="26"/>
          <w:szCs w:val="26"/>
          <w:rtl/>
        </w:rPr>
        <w:t xml:space="preserve"> پارامترهایِ آموختنی‌اند، </w:t>
      </w:r>
      <w:r>
        <w:rPr>
          <w:rFonts w:ascii="B Nazanin" w:cs="B Nazanin" w:eastAsia="B Nazanin" w:hAnsi="B Nazanin"/>
          <w:b w:val="false"/>
          <w:bCs w:val="false"/>
          <w:i/>
          <w:iCs/>
          <w:color w:val="1a1a1a"/>
          <w:sz w:val="26"/>
          <w:szCs w:val="26"/>
          <w:rtl/>
        </w:rPr>
        <w:t xml:space="preserve">αₜ</w:t>
      </w:r>
      <w:r>
        <w:rPr>
          <w:rFonts w:ascii="B Nazanin" w:cs="B Nazanin" w:eastAsia="B Nazanin" w:hAnsi="B Nazanin"/>
          <w:b w:val="false"/>
          <w:bCs w:val="false"/>
          <w:i w:val="false"/>
          <w:iCs w:val="false"/>
          <w:color w:val="1a1a1a"/>
          <w:sz w:val="26"/>
          <w:szCs w:val="26"/>
          <w:rtl/>
        </w:rPr>
        <w:t xml:space="preserve"> وزنِ توجهِ گامِ t (پس از softmax) و </w:t>
      </w:r>
      <w:r>
        <w:rPr>
          <w:rFonts w:ascii="B Nazanin" w:cs="B Nazanin" w:eastAsia="B Nazanin" w:hAnsi="B Nazanin"/>
          <w:b w:val="false"/>
          <w:bCs w:val="false"/>
          <w:i/>
          <w:iCs/>
          <w:color w:val="1a1a1a"/>
          <w:sz w:val="26"/>
          <w:szCs w:val="26"/>
          <w:rtl/>
        </w:rPr>
        <w:t xml:space="preserve">c</w:t>
      </w:r>
      <w:r>
        <w:rPr>
          <w:rFonts w:ascii="B Nazanin" w:cs="B Nazanin" w:eastAsia="B Nazanin" w:hAnsi="B Nazanin"/>
          <w:b w:val="false"/>
          <w:bCs w:val="false"/>
          <w:i w:val="false"/>
          <w:iCs w:val="false"/>
          <w:color w:val="1a1a1a"/>
          <w:sz w:val="26"/>
          <w:szCs w:val="26"/>
          <w:rtl/>
        </w:rPr>
        <w:t xml:space="preserve"> بردارِ زمینه (context vector) است که به لایه‌ی خروجی تغذیه می‌شود. شکلِ ۳ معماریِ کاملِ این مدل را از ورودی تا خروجی نشان می‌دهد.</w:t>
      </w:r>
    </w:p>
    <w:p>
      <w:pPr>
        <w:spacing w:after="80" w:before="200"/>
        <w:jc w:val="center"/>
      </w:pPr>
      <w:r>
        <w:drawing>
          <wp:inline distT="0" distB="0" distL="0" distR="0">
            <wp:extent cx="28575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2247900"/>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3. معماریِ طبقه‌بندِ LSTM با مکانیزمِ توجه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مدل با استفاده از رابطه‌ی sklearn (متدهایِ fit/predict_proba/clone) پیاده‌سازی شده تا بتواند در کنارِ مدل‌های دیگر داخلِ یادگیریِ ترکیبی (بخش ۳-۸) و اعتبارسنجیِ غلتانِ زمانی (بخش ۳-۹) استفاده شود. توقفِ زودهنگام (Early Stopping) در طولِ آموزش از </w:t>
      </w:r>
      <w:r>
        <w:rPr>
          <w:rFonts w:ascii="B Nazanin" w:cs="B Nazanin" w:eastAsia="B Nazanin" w:hAnsi="B Nazanin"/>
          <w:b/>
          <w:bCs/>
          <w:i w:val="false"/>
          <w:iCs w:val="false"/>
          <w:color w:val="1a1a1a"/>
          <w:sz w:val="26"/>
          <w:szCs w:val="26"/>
          <w:rtl/>
        </w:rPr>
        <w:t xml:space="preserve">مجموعه‌ی اعتبارسنجیِ واقعی</w:t>
      </w:r>
      <w:r>
        <w:rPr>
          <w:rFonts w:ascii="B Nazanin" w:cs="B Nazanin" w:eastAsia="B Nazanin" w:hAnsi="B Nazanin"/>
          <w:b w:val="false"/>
          <w:bCs w:val="false"/>
          <w:i w:val="false"/>
          <w:iCs w:val="false"/>
          <w:color w:val="1a1a1a"/>
          <w:sz w:val="26"/>
          <w:szCs w:val="26"/>
          <w:rtl/>
        </w:rPr>
        <w:t xml:space="preserve"> استفاده می‌کند — نه یک برشِ داخلیِ کوچک از داده‌ی آموزش — تا معیارِ توقف با معیارِ ارزیابیِ سایرِ مدل‌ها کاملاً هم‌راستا بماند. هنگامی که این مدل بعداً بدونِ دسترسی به مجموعه‌ی اعتبارسنجیِ واقعی (مثلاً درونِ فرایندِ اعتبارسنجیِ غلتانِ زمانی) بازآموزی می‌شود، به‌طورِ خودکار به یک برشِ داخلیِ پانزده‌درصدی از انتهایِ داده‌ی آموزش برایِ توقفِ زودهنگام سقوط می‌کند.</w:t>
      </w:r>
    </w:p>
    <w:p>
      <w:pPr>
        <w:pStyle w:val="Heading2"/>
        <w:bidi/>
        <w:spacing w:after="180" w:before="360"/>
        <w:jc w:val="right"/>
      </w:pPr>
      <w:r>
        <w:rPr>
          <w:rFonts w:ascii="B Nazanin" w:cs="B Nazanin" w:eastAsia="B Nazanin" w:hAnsi="B Nazanin"/>
          <w:b/>
          <w:bCs/>
          <w:color w:val="1e3a5f"/>
          <w:sz w:val="30"/>
          <w:szCs w:val="30"/>
          <w:rtl/>
        </w:rPr>
        <w:t xml:space="preserve">۳-۷-۴ شبکه‌ی ترکیبیِ CNN-LSTM</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به‌منظورِ سنجشِ این فرضیه که استخراجِ صریحِ الگوهایِ محلیِ کوتاه‌مدت (شبیهِ یک الگوی چند-کندلی) پیش از تحلیلِ توالیِ بلندمدت می‌تواند به مدل کمک کند، یک معماریِ ترکیبیِ CNN-LSTM نیز به تورنمنت اضافه شده است. این معماری با افزودنِ یک لایه‌ی کانولوشنِ یک‌بعدیِ علّی پیش از ورودیِ LSTM ساخته می‌شود:</w:t>
      </w:r>
    </w:p>
    <w:p>
      <w:pPr>
        <w:spacing w:after="120" w:before="120"/>
        <w:jc w:val="center"/>
      </w:pPr>
      <w:r>
        <w:drawing>
          <wp:inline distT="0" distB="0" distL="0" distR="0">
            <wp:extent cx="44767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76750" cy="933450"/>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کرنلِ کانولوشن همواره فرد (</w:t>
      </w:r>
      <w:r>
        <w:rPr>
          <w:rFonts w:ascii="B Nazanin" w:cs="B Nazanin" w:eastAsia="B Nazanin" w:hAnsi="B Nazanin"/>
          <w:b w:val="false"/>
          <w:bCs w:val="false"/>
          <w:i/>
          <w:iCs/>
          <w:color w:val="1a1a1a"/>
          <w:sz w:val="26"/>
          <w:szCs w:val="26"/>
          <w:rtl/>
        </w:rPr>
        <w:t xml:space="preserve">K ∈ {۳، ۵، ۷}</w:t>
      </w:r>
      <w:r>
        <w:rPr>
          <w:rFonts w:ascii="B Nazanin" w:cs="B Nazanin" w:eastAsia="B Nazanin" w:hAnsi="B Nazanin"/>
          <w:b w:val="false"/>
          <w:bCs w:val="false"/>
          <w:i w:val="false"/>
          <w:iCs w:val="false"/>
          <w:color w:val="1a1a1a"/>
          <w:sz w:val="26"/>
          <w:szCs w:val="26"/>
          <w:rtl/>
        </w:rPr>
        <w:t xml:space="preserve">) انتخاب می‌شود و padding از نوعِ same به‌کار می‌رود تا طولِ دنباله پس از کانولوشن تغییر نکند. مهم‌تر از این، کانولوشن </w:t>
      </w:r>
      <w:r>
        <w:rPr>
          <w:rFonts w:ascii="B Nazanin" w:cs="B Nazanin" w:eastAsia="B Nazanin" w:hAnsi="B Nazanin"/>
          <w:b/>
          <w:bCs/>
          <w:i w:val="false"/>
          <w:iCs w:val="false"/>
          <w:color w:val="1a1a1a"/>
          <w:sz w:val="26"/>
          <w:szCs w:val="26"/>
          <w:rtl/>
        </w:rPr>
        <w:t xml:space="preserve">علّی</w:t>
      </w:r>
      <w:r>
        <w:rPr>
          <w:rFonts w:ascii="B Nazanin" w:cs="B Nazanin" w:eastAsia="B Nazanin" w:hAnsi="B Nazanin"/>
          <w:b w:val="false"/>
          <w:bCs w:val="false"/>
          <w:i w:val="false"/>
          <w:iCs w:val="false"/>
          <w:color w:val="1a1a1a"/>
          <w:sz w:val="26"/>
          <w:szCs w:val="26"/>
          <w:rtl/>
        </w:rPr>
        <w:t xml:space="preserve"> است: از آن‌جا که کلِ پنجره‌ی ورودی از پیش متعلق به گذشته است (بدونِ نگاه به روزهای پس از لحظه‌ی تصمیم)، اعمالِ کانولوشن روی این پنجره به‌خودیِ‌خود هیچ نشتِ اطلاعاتی ایجاد نمی‌کند. از نظرِ مهندسیِ نرم‌افزار، این معماری با گسترشِ همان کلاسِ LSTM موجود (نه ایجادِ یک کلاسِ کاملاً جدید) پیاده‌سازی شده — با افزودنِ یک پرچمِ فعال/غیرفعال — تا منطقِ پنجره‌بندی، توقفِ زودهنگام و سازگاریِ با sklearn بدونِ بازنویسی به ارث برسد. شکلِ ۴ معماریِ کاملِ این مدل را نشان می‌دهد.</w:t>
      </w:r>
    </w:p>
    <w:p>
      <w:pPr>
        <w:spacing w:after="80" w:before="200"/>
        <w:jc w:val="center"/>
      </w:pPr>
      <w:r>
        <w:drawing>
          <wp:inline distT="0" distB="0" distL="0" distR="0">
            <wp:extent cx="2857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2628900"/>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4. معماریِ طبقه‌بندِ CNN-LSTM (گسترشِ معماریِ LSTM+Attention با یک لایه‌ی Conv1D علّی)</w:t>
      </w:r>
    </w:p>
    <w:p>
      <w:pPr>
        <w:pStyle w:val="Heading2"/>
        <w:bidi/>
        <w:spacing w:after="180" w:before="360"/>
        <w:jc w:val="right"/>
      </w:pPr>
      <w:r>
        <w:rPr>
          <w:rFonts w:ascii="B Nazanin" w:cs="B Nazanin" w:eastAsia="B Nazanin" w:hAnsi="B Nazanin"/>
          <w:b/>
          <w:bCs/>
          <w:color w:val="1e3a5f"/>
          <w:sz w:val="30"/>
          <w:szCs w:val="30"/>
          <w:rtl/>
        </w:rPr>
        <w:t xml:space="preserve">۳-۷-۵ وزن‌دهیِ نزدیکی‌به‌زمانِ‌حال</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بازارِ بورسِ تهران در بازه‌ی موردِ مطالعه چندین رژیمِ کاملاً متفاوت را پشتِ‌سر گذاشته است (از جمله دوره‌ی همه‌گیریِ کووید-۱۹، جهش‌های شدیدِ ارزی و موجِ افزایشِ‌سرمایه‌های سنگین). برایِ اینکه مدل‌های درختی به‌جایِ رفتارِ میانگینِ کلِ ده سال، بیشتر بر رژیمِ اخیر متمرکز شوند، یک وزنِ نمایی به هر ردیفِ آموزشی اختصاص می‌یابد:</w:t>
      </w:r>
    </w:p>
    <w:p>
      <w:pPr>
        <w:spacing w:after="120" w:before="120"/>
        <w:jc w:val="center"/>
      </w:pPr>
      <w:r>
        <w:drawing>
          <wp:inline distT="0" distB="0" distL="0" distR="0">
            <wp:extent cx="3238500" cy="46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38500" cy="466725"/>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این رابطه، </w:t>
      </w:r>
      <w:r>
        <w:rPr>
          <w:rFonts w:ascii="B Nazanin" w:cs="B Nazanin" w:eastAsia="B Nazanin" w:hAnsi="B Nazanin"/>
          <w:b w:val="false"/>
          <w:bCs w:val="false"/>
          <w:i/>
          <w:iCs/>
          <w:color w:val="1a1a1a"/>
          <w:sz w:val="26"/>
          <w:szCs w:val="26"/>
          <w:rtl/>
        </w:rPr>
        <w:t xml:space="preserve">n</w:t>
      </w:r>
      <w:r>
        <w:rPr>
          <w:rFonts w:ascii="B Nazanin" w:cs="B Nazanin" w:eastAsia="B Nazanin" w:hAnsi="B Nazanin"/>
          <w:b w:val="false"/>
          <w:bCs w:val="false"/>
          <w:i w:val="false"/>
          <w:iCs w:val="false"/>
          <w:color w:val="1a1a1a"/>
          <w:sz w:val="26"/>
          <w:szCs w:val="26"/>
          <w:rtl/>
        </w:rPr>
        <w:t xml:space="preserve"> تعدادِ کلِ ردیف‌های آموزش، </w:t>
      </w:r>
      <w:r>
        <w:rPr>
          <w:rFonts w:ascii="B Nazanin" w:cs="B Nazanin" w:eastAsia="B Nazanin" w:hAnsi="B Nazanin"/>
          <w:b w:val="false"/>
          <w:bCs w:val="false"/>
          <w:i/>
          <w:iCs/>
          <w:color w:val="1a1a1a"/>
          <w:sz w:val="26"/>
          <w:szCs w:val="26"/>
          <w:rtl/>
        </w:rPr>
        <w:t xml:space="preserve">i</w:t>
      </w:r>
      <w:r>
        <w:rPr>
          <w:rFonts w:ascii="B Nazanin" w:cs="B Nazanin" w:eastAsia="B Nazanin" w:hAnsi="B Nazanin"/>
          <w:b w:val="false"/>
          <w:bCs w:val="false"/>
          <w:i w:val="false"/>
          <w:iCs w:val="false"/>
          <w:color w:val="1a1a1a"/>
          <w:sz w:val="26"/>
          <w:szCs w:val="26"/>
          <w:rtl/>
        </w:rPr>
        <w:t xml:space="preserve"> اندیسِ ردیف (به ترتیبِ زمانی) و </w:t>
      </w:r>
      <w:r>
        <w:rPr>
          <w:rFonts w:ascii="B Nazanin" w:cs="B Nazanin" w:eastAsia="B Nazanin" w:hAnsi="B Nazanin"/>
          <w:b w:val="false"/>
          <w:bCs w:val="false"/>
          <w:i/>
          <w:iCs/>
          <w:color w:val="1a1a1a"/>
          <w:sz w:val="26"/>
          <w:szCs w:val="26"/>
          <w:rtl/>
        </w:rPr>
        <w:t xml:space="preserve">τ</w:t>
      </w:r>
      <w:r>
        <w:rPr>
          <w:rFonts w:ascii="B Nazanin" w:cs="B Nazanin" w:eastAsia="B Nazanin" w:hAnsi="B Nazanin"/>
          <w:b w:val="false"/>
          <w:bCs w:val="false"/>
          <w:i w:val="false"/>
          <w:iCs w:val="false"/>
          <w:color w:val="1a1a1a"/>
          <w:sz w:val="26"/>
          <w:szCs w:val="26"/>
          <w:rtl/>
        </w:rPr>
        <w:t xml:space="preserve"> نیمه‌عمرِ وزن‌دهی — معادلِ حدوداً دو سالِ معاملاتی — است؛ آخرین ردیف وزنِ کاملِ یک می‌گیرد و ردیف‌های قدیمی‌تر با افتِ نمایی وزن می‌گیرند. این وزن‌دهی کاملاً علّی است، چرا که تنها از ترتیبِ زمانیِ از‌پیش‌مشخصِ داده استفاده می‌کند و هیچ اطلاعی از برچسب یا آینده در آن دخیل نیست.</w:t>
      </w:r>
    </w:p>
    <w:p>
      <w:pPr>
        <w:pStyle w:val="Heading2"/>
        <w:bidi/>
        <w:spacing w:after="180" w:before="360"/>
        <w:jc w:val="right"/>
      </w:pPr>
      <w:r>
        <w:rPr>
          <w:rFonts w:ascii="B Nazanin" w:cs="B Nazanin" w:eastAsia="B Nazanin" w:hAnsi="B Nazanin"/>
          <w:b/>
          <w:bCs/>
          <w:color w:val="1e3a5f"/>
          <w:sz w:val="30"/>
          <w:szCs w:val="30"/>
          <w:rtl/>
        </w:rPr>
        <w:t xml:space="preserve">۳-۷-۶ بهینه‌سازیِ ابرپارامتر با رویکردِ بیزی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تنظیمِ ابرپارامترِ هر یک از هفت مدلِ منفرد با چارچوبِ Optuna و نمونه‌گیرِ درختِ ساختاریِ پارزن (TPE) انجام می‌شود؛ این رویکرد نسبت به جست‌وجویِ شبکه‌ای یا تصادفیِ ساده، با تعدادِ آزمایشِ کمتر به نواحیِ امیدبخش‌ترِ فضایِ ابرپارامتر همگرا می‌شود. بذرِ تصادفی (random seed) در سراسرِ سامانه — شاملِ نمونه‌گیرِ Optuna — ثابت نگه داشته می‌شود تا بازتولیدپذیریِ کامل تضمین گردد. تعدادِ آزمایش‌هایِ اختصاص‌یافته به هر مدل (جدولِ ۲) متناسب با هزینه‌ی محاسباتیِ هر fit تعیین شده است: مدل‌های عصبی که هر fit در آن‌ها چندین ده epoch به‌طول می‌انجامد، سهمِ کمتری از تعدادِ آزمایش می‌گیرند تا زمانِ کلِ اجرایِ تورنمنت در محدوده‌ی منطقی باقی بماند.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۳-۸ — یادگیریِ ترکیبیِ دوسطحی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پس از پایانِ تورنمنتِ نُه‌مدلی، به‌جایِ اتکای صرف به یک مدلِ منفردِ برنده، سامانه دو رویکردِ یادگیریِ ترکیبی را نیز می‌سازد. در هر دو رویکرد، پایه‌ی ترکیب نه همه‌ی نُه مدل، بلکه پنج مدلِ برترِ هر نماد (بر اساسِ AUC روی مجموعه‌ی اعتبارسنجی) است؛ این انتخاب پویا به این معناست که ترکیبِ پایه می‌تواند از نمادی به نمادِ دیگر متفاوت باشد.</w:t>
      </w:r>
    </w:p>
    <w:p>
      <w:pPr>
        <w:spacing w:after="80" w:before="200"/>
        <w:jc w:val="center"/>
      </w:pPr>
      <w:r>
        <w:drawing>
          <wp:inline distT="0" distB="0" distL="0" distR="0">
            <wp:extent cx="581025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10250" cy="3552825"/>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5. ساختِ یادگیریِ ترکیبیِ دوسطحی از میانِ نُه مدلِ پایه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رویکردِ نخست، </w:t>
      </w:r>
      <w:r>
        <w:rPr>
          <w:rFonts w:ascii="B Nazanin" w:cs="B Nazanin" w:eastAsia="B Nazanin" w:hAnsi="B Nazanin"/>
          <w:b/>
          <w:bCs/>
          <w:i w:val="false"/>
          <w:iCs w:val="false"/>
          <w:color w:val="1a1a1a"/>
          <w:sz w:val="26"/>
          <w:szCs w:val="26"/>
          <w:rtl/>
        </w:rPr>
        <w:t xml:space="preserve">StackingClassifier</w:t>
      </w:r>
      <w:r>
        <w:rPr>
          <w:rFonts w:ascii="B Nazanin" w:cs="B Nazanin" w:eastAsia="B Nazanin" w:hAnsi="B Nazanin"/>
          <w:b w:val="false"/>
          <w:bCs w:val="false"/>
          <w:i w:val="false"/>
          <w:iCs w:val="false"/>
          <w:color w:val="1a1a1a"/>
          <w:sz w:val="26"/>
          <w:szCs w:val="26"/>
          <w:rtl/>
        </w:rPr>
        <w:t xml:space="preserve">، یک مدلِ فرا (Meta-Learner) از نوعِ رگرسیونِ لجستیک را روی خروجیِ احتمالاتیِ پنج مدلِ پایه آموزش می‌دهد؛ برایِ جلوگیری از بیش‌برازشِ مدلِ فرا، این خروجی‌ها با روشِ خارج‌از‌نمونه‌ی سه‌تایی (۳-fold Out-Of-Fold) تولید می‌شوند، نه با پیش‌بینیِ مستقیمِ روی همان داده‌ای که مدل‌های پایه رویش آموزش دیده‌اند. رویکردِ دوم، </w:t>
      </w:r>
      <w:r>
        <w:rPr>
          <w:rFonts w:ascii="B Nazanin" w:cs="B Nazanin" w:eastAsia="B Nazanin" w:hAnsi="B Nazanin"/>
          <w:b/>
          <w:bCs/>
          <w:i w:val="false"/>
          <w:iCs w:val="false"/>
          <w:color w:val="1a1a1a"/>
          <w:sz w:val="26"/>
          <w:szCs w:val="26"/>
          <w:rtl/>
        </w:rPr>
        <w:t xml:space="preserve">VotingClassifier</w:t>
      </w:r>
      <w:r>
        <w:rPr>
          <w:rFonts w:ascii="B Nazanin" w:cs="B Nazanin" w:eastAsia="B Nazanin" w:hAnsi="B Nazanin"/>
          <w:b w:val="false"/>
          <w:bCs w:val="false"/>
          <w:i w:val="false"/>
          <w:iCs w:val="false"/>
          <w:color w:val="1a1a1a"/>
          <w:sz w:val="26"/>
          <w:szCs w:val="26"/>
          <w:rtl/>
        </w:rPr>
        <w:t xml:space="preserve">، ساده‌تر است: میانگینِ نرمِ (soft) احتمالاتِ پنج مدلِ پایه را بدونِ آموزشِ لایه‌ی فرایِ اضافی محاسبه می‌کند.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نهایت، برایِ هر نماد، مدلِ برنده — که می‌تواند یک مدلِ منفرد یا یکی از این دو رویکردِ ترکیبی باشد — بر اساسِ AUC روی مجموعه‌ی اعتبارسنجی انتخاب می‌شود. این انتخاب سپس در معرضِ آزمونِ استحکامِ بخشِ ۳-۹ قرار می‌گیرد و در صورتِ ناپایداری، به یک ترکیبِ محافظه‌کارانه‌ترِ میانگینِ رتبه‌ای سقوط می‌کند.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۳-۹ — اعتبارسنجیِ استحکام با روشِ غلتانِ زمانی و ایمنی‌سازیِ انتخاب</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یک تفکیکِ ثابتِ آموزش/اعتبارسنجی/آزمون — هرچند با فاصله‌ی حذفِ آموزنده‌ی صحیح (بخش ۳-۶) — تنها یک نمونه از عملکردِ ممکنِ مدل را نشان می‌دهد. عملکردِ برتر روی این یک تفکیکِ خاص می‌تواند محصولِ شانس یا بیش‌برازش به همان برشِ خاص باشد، نه مهارتِ واقعیِ پایدار. برایِ رفعِ این نگرانی، معماریِ برنده‌ی هر نماد — با همان ابرپارامترهایی که تورنمنتِ اصلی یافته، بدونِ تنظیمِ دوباره — روی سه برشِ غلتانِ زمانیِ دیگر (با استفاده از TimeSeriesSplit) دوباره برازش و ارزیابی می‌شود.</w:t>
      </w:r>
    </w:p>
    <w:p>
      <w:pPr>
        <w:spacing w:after="80" w:before="200"/>
        <w:jc w:val="center"/>
      </w:pPr>
      <w:r>
        <w:drawing>
          <wp:inline distT="0" distB="0" distL="0" distR="0">
            <wp:extent cx="581025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10250" cy="3467100"/>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6. اعتبارسنجیِ غلتانِ زمانی و مکانیزمِ ایمنی‌سازیِ انتخاب</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اگر میانگینِ AUC روی این سه برش از آستانه‌ی محافظه‌کارانه‌ی </w:t>
      </w:r>
      <w:r>
        <w:rPr>
          <w:rFonts w:ascii="B Nazanin" w:cs="B Nazanin" w:eastAsia="B Nazanin" w:hAnsi="B Nazanin"/>
          <w:b/>
          <w:bCs/>
          <w:i w:val="false"/>
          <w:iCs w:val="false"/>
          <w:color w:val="1a1a1a"/>
          <w:sz w:val="26"/>
          <w:szCs w:val="26"/>
          <w:rtl/>
        </w:rPr>
        <w:t xml:space="preserve">۰٫۵۲</w:t>
      </w:r>
      <w:r>
        <w:rPr>
          <w:rFonts w:ascii="B Nazanin" w:cs="B Nazanin" w:eastAsia="B Nazanin" w:hAnsi="B Nazanin"/>
          <w:b w:val="false"/>
          <w:bCs w:val="false"/>
          <w:i w:val="false"/>
          <w:iCs w:val="false"/>
          <w:color w:val="1a1a1a"/>
          <w:sz w:val="26"/>
          <w:szCs w:val="26"/>
          <w:rtl/>
        </w:rPr>
        <w:t xml:space="preserve"> فراتر رود، انتخابِ اصلیِ سامانه دست‌نخورده باقی می‌ماند. اما اگر میانگین زیرِ این آستانه بیفتد — نشانه‌ای از اینکه مدلِ برنده به‌احتمالِ زیاد به تفکیکِ خاصِ اعتبارسنجی بیش‌برازش شده — سامانه به‌طورِ </w:t>
      </w:r>
      <w:r>
        <w:rPr>
          <w:rFonts w:ascii="B Nazanin" w:cs="B Nazanin" w:eastAsia="B Nazanin" w:hAnsi="B Nazanin"/>
          <w:b/>
          <w:bCs/>
          <w:i w:val="false"/>
          <w:iCs w:val="false"/>
          <w:color w:val="1a1a1a"/>
          <w:sz w:val="26"/>
          <w:szCs w:val="26"/>
          <w:rtl/>
        </w:rPr>
        <w:t xml:space="preserve">خودکار</w:t>
      </w:r>
      <w:r>
        <w:rPr>
          <w:rFonts w:ascii="B Nazanin" w:cs="B Nazanin" w:eastAsia="B Nazanin" w:hAnsi="B Nazanin"/>
          <w:b w:val="false"/>
          <w:bCs w:val="false"/>
          <w:i w:val="false"/>
          <w:iCs w:val="false"/>
          <w:color w:val="1a1a1a"/>
          <w:sz w:val="26"/>
          <w:szCs w:val="26"/>
          <w:rtl/>
        </w:rPr>
        <w:t xml:space="preserve"> به یک انتخابِ محافظه‌کارانه‌تر سقوط می‌کند: میانگینِ رتبه‌ایِ (Rank-Average) خروجیِ تمامِ نُه مدلِ منفرد. این مکانیزم به دو دلیل اهمیتِ ویژه دارد. نخست، از آن‌جا که میانگینِ رتبه‌ای از چندین مدلِ مستقل ساخته می‌شود، به‌طورِ ذاتی در برابرِ بیش‌برازشِ یک مدلِ خاص مقاوم‌تر است. دوم، این مکانیزم حلقه‌ی «تشخیص در برابرِ واکنش» را می‌بندد: بدونِ آن، اعتبارسنجیِ غلتانِ زمانی صرفاً ابزاری تشخیصی باقی می‌ماند که ناپایداری را نشان می‌دهد اما هیچ اثری بر گزارشِ نهایی نمی‌گذارد.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آستانه‌ی ۰٫۵۲ عمداً محافظه‌کارانه انتخاب شده: با تنها سه برشِ اعتبارسنجی، حتی یک مدلِ کاملاً بدونِ مهارتِ واقعی می‌تواند به‌طورِ نویزی بینِ ۰٫۴۷ تا ۰٫۵۳ نوسان کند؛ آستانه‌ی ۰٫۵۲ اندکی بالاتر از این محدوده‌ی نویز قرار دارد تا از سقوطِ نابجای مدل‌های واقعاً توانمند جلوگیری شود، بدونِ اینکه حساسیتِ لازم برایِ شناساییِ بیش‌برازش را از دست بدهد.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۳-۱۰ — موتورِ بک‌تستِ استراتژیِ اختیارِ خریدِ پوشش‌داده‌شده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خروجیِ احتمالاتیِ سامانه (بخش‌های ۳-۷ تا ۳-۹) ورودیِ یک موتورِ بک‌تست است که استراتژیِ اختیارِ خریدِ پوشش‌داده‌شده را شبیه‌سازی می‌کند. طراحیِ این موتور از یک اصلِ بنیادین پیروی می‌کند که آن را از بسیاری از مطالعاتِ مشابه متمایز می‌سازد: پوزیسیونِ سهامِ پایه همواره و به‌طورِ کامل (صد درصد) حفظ می‌شود — دقیقاً همان‌طور که صندوق‌های واقعیِ Covered-Call (مانندِ QYLD یا JEPI در بازارهای توسعه‌یافته) عمل می‌کنند — و تنها تصمیمی که مدل اتخاذ می‌کند، «فروش یا عدم‌فروشِ اختیارِ خرید» و «وزنِ این فروش» است، نه اندازه‌ی پوزیسیونِ سهام. این طراحی از یک اشکالِ رایج پیشگیری می‌کند: اگر اندازه‌ی پوزیسیون با اطمینانِ مدل کوچک و بزرگ شود، مقایسه با راهبردِ خرید-و-نگهداریِ ساده (Buy &amp; Hold) که همواره صد درصد در بازار است، از پایه ناعادلانه خواهد بود.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برایِ تصمیم‌گیری درباره‌یِ منصفانه‌بودنِ پرمیومِ فرضیِ بازار، از قیمت‌گذاریِ کلاسیکِ بلک-شولز برایِ محاسبه‌ی پرمیومِ تعادلیِ نظری استفاده می‌شود:</w:t>
      </w:r>
    </w:p>
    <w:p>
      <w:pPr>
        <w:spacing w:after="120" w:before="120"/>
        <w:jc w:val="center"/>
      </w:pPr>
      <w:r>
        <w:drawing>
          <wp:inline distT="0" distB="0" distL="0" distR="0">
            <wp:extent cx="53340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609600"/>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این رابطه، </w:t>
      </w:r>
      <w:r>
        <w:rPr>
          <w:rFonts w:ascii="B Nazanin" w:cs="B Nazanin" w:eastAsia="B Nazanin" w:hAnsi="B Nazanin"/>
          <w:b w:val="false"/>
          <w:bCs w:val="false"/>
          <w:i/>
          <w:iCs/>
          <w:color w:val="1a1a1a"/>
          <w:sz w:val="26"/>
          <w:szCs w:val="26"/>
          <w:rtl/>
        </w:rPr>
        <w:t xml:space="preserve">S</w:t>
      </w:r>
      <w:r>
        <w:rPr>
          <w:rFonts w:ascii="B Nazanin" w:cs="B Nazanin" w:eastAsia="B Nazanin" w:hAnsi="B Nazanin"/>
          <w:b w:val="false"/>
          <w:bCs w:val="false"/>
          <w:i w:val="false"/>
          <w:iCs w:val="false"/>
          <w:color w:val="1a1a1a"/>
          <w:sz w:val="26"/>
          <w:szCs w:val="26"/>
          <w:rtl/>
        </w:rPr>
        <w:t xml:space="preserve"> قیمتِ جاری، </w:t>
      </w:r>
      <w:r>
        <w:rPr>
          <w:rFonts w:ascii="B Nazanin" w:cs="B Nazanin" w:eastAsia="B Nazanin" w:hAnsi="B Nazanin"/>
          <w:b w:val="false"/>
          <w:bCs w:val="false"/>
          <w:i/>
          <w:iCs/>
          <w:color w:val="1a1a1a"/>
          <w:sz w:val="26"/>
          <w:szCs w:val="26"/>
          <w:rtl/>
        </w:rPr>
        <w:t xml:space="preserve">K</w:t>
      </w:r>
      <w:r>
        <w:rPr>
          <w:rFonts w:ascii="B Nazanin" w:cs="B Nazanin" w:eastAsia="B Nazanin" w:hAnsi="B Nazanin"/>
          <w:b w:val="false"/>
          <w:bCs w:val="false"/>
          <w:i w:val="false"/>
          <w:iCs w:val="false"/>
          <w:color w:val="1a1a1a"/>
          <w:sz w:val="26"/>
          <w:szCs w:val="26"/>
          <w:rtl/>
        </w:rPr>
        <w:t xml:space="preserve"> قیمتِ اعمال، </w:t>
      </w:r>
      <w:r>
        <w:rPr>
          <w:rFonts w:ascii="B Nazanin" w:cs="B Nazanin" w:eastAsia="B Nazanin" w:hAnsi="B Nazanin"/>
          <w:b w:val="false"/>
          <w:bCs w:val="false"/>
          <w:i/>
          <w:iCs/>
          <w:color w:val="1a1a1a"/>
          <w:sz w:val="26"/>
          <w:szCs w:val="26"/>
          <w:rtl/>
        </w:rPr>
        <w:t xml:space="preserve">T</w:t>
      </w:r>
      <w:r>
        <w:rPr>
          <w:rFonts w:ascii="B Nazanin" w:cs="B Nazanin" w:eastAsia="B Nazanin" w:hAnsi="B Nazanin"/>
          <w:b w:val="false"/>
          <w:bCs w:val="false"/>
          <w:i w:val="false"/>
          <w:iCs w:val="false"/>
          <w:color w:val="1a1a1a"/>
          <w:sz w:val="26"/>
          <w:szCs w:val="26"/>
          <w:rtl/>
        </w:rPr>
        <w:t xml:space="preserve"> زمان تا سررسید (بر اساسِ افقِ منتخبِ همان نماد)، </w:t>
      </w:r>
      <w:r>
        <w:rPr>
          <w:rFonts w:ascii="B Nazanin" w:cs="B Nazanin" w:eastAsia="B Nazanin" w:hAnsi="B Nazanin"/>
          <w:b w:val="false"/>
          <w:bCs w:val="false"/>
          <w:i/>
          <w:iCs/>
          <w:color w:val="1a1a1a"/>
          <w:sz w:val="26"/>
          <w:szCs w:val="26"/>
          <w:rtl/>
        </w:rPr>
        <w:t xml:space="preserve">r</w:t>
      </w:r>
      <w:r>
        <w:rPr>
          <w:rFonts w:ascii="B Nazanin" w:cs="B Nazanin" w:eastAsia="B Nazanin" w:hAnsi="B Nazanin"/>
          <w:b w:val="false"/>
          <w:bCs w:val="false"/>
          <w:i w:val="false"/>
          <w:iCs w:val="false"/>
          <w:color w:val="1a1a1a"/>
          <w:sz w:val="26"/>
          <w:szCs w:val="26"/>
          <w:rtl/>
        </w:rPr>
        <w:t xml:space="preserve"> نرخِ بدونِ ریسک، </w:t>
      </w:r>
      <w:r>
        <w:rPr>
          <w:rFonts w:ascii="B Nazanin" w:cs="B Nazanin" w:eastAsia="B Nazanin" w:hAnsi="B Nazanin"/>
          <w:b w:val="false"/>
          <w:bCs w:val="false"/>
          <w:i/>
          <w:iCs/>
          <w:color w:val="1a1a1a"/>
          <w:sz w:val="26"/>
          <w:szCs w:val="26"/>
          <w:rtl/>
        </w:rPr>
        <w:t xml:space="preserve">σ</w:t>
      </w:r>
      <w:r>
        <w:rPr>
          <w:rFonts w:ascii="B Nazanin" w:cs="B Nazanin" w:eastAsia="B Nazanin" w:hAnsi="B Nazanin"/>
          <w:b w:val="false"/>
          <w:bCs w:val="false"/>
          <w:i w:val="false"/>
          <w:iCs w:val="false"/>
          <w:color w:val="1a1a1a"/>
          <w:sz w:val="26"/>
          <w:szCs w:val="26"/>
          <w:rtl/>
        </w:rPr>
        <w:t xml:space="preserve"> نوسان‌پذیریِ سالانه‌شده و </w:t>
      </w:r>
      <w:r>
        <w:rPr>
          <w:rFonts w:ascii="B Nazanin" w:cs="B Nazanin" w:eastAsia="B Nazanin" w:hAnsi="B Nazanin"/>
          <w:b w:val="false"/>
          <w:bCs w:val="false"/>
          <w:i/>
          <w:iCs/>
          <w:color w:val="1a1a1a"/>
          <w:sz w:val="26"/>
          <w:szCs w:val="26"/>
          <w:rtl/>
        </w:rPr>
        <w:t xml:space="preserve">Φ</w:t>
      </w:r>
      <w:r>
        <w:rPr>
          <w:rFonts w:ascii="B Nazanin" w:cs="B Nazanin" w:eastAsia="B Nazanin" w:hAnsi="B Nazanin"/>
          <w:b w:val="false"/>
          <w:bCs w:val="false"/>
          <w:i w:val="false"/>
          <w:iCs w:val="false"/>
          <w:color w:val="1a1a1a"/>
          <w:sz w:val="26"/>
          <w:szCs w:val="26"/>
          <w:rtl/>
        </w:rPr>
        <w:t xml:space="preserve"> تابعِ توزیعِ تجمعیِ نرمالِ استاندارد است. اگر پرمیومِ فرضیِ بازار کمتر از این پرمیومِ منصفانه باشد، فروشِ اختیارِ خرید در آن روز غیرِفعال می‌ماند — یک </w:t>
      </w:r>
      <w:r>
        <w:rPr>
          <w:rFonts w:ascii="B Nazanin" w:cs="B Nazanin" w:eastAsia="B Nazanin" w:hAnsi="B Nazanin"/>
          <w:b/>
          <w:bCs/>
          <w:i w:val="false"/>
          <w:iCs w:val="false"/>
          <w:color w:val="1a1a1a"/>
          <w:sz w:val="26"/>
          <w:szCs w:val="26"/>
          <w:rtl/>
        </w:rPr>
        <w:t xml:space="preserve">دروازه‌ی اقتصادی</w:t>
      </w:r>
      <w:r>
        <w:rPr>
          <w:rFonts w:ascii="B Nazanin" w:cs="B Nazanin" w:eastAsia="B Nazanin" w:hAnsi="B Nazanin"/>
          <w:b w:val="false"/>
          <w:bCs w:val="false"/>
          <w:i w:val="false"/>
          <w:iCs w:val="false"/>
          <w:color w:val="1a1a1a"/>
          <w:sz w:val="26"/>
          <w:szCs w:val="26"/>
          <w:rtl/>
        </w:rPr>
        <w:t xml:space="preserve"> که مانعِ فروشِ سیستماتیکِ آپشن به قیمتی پایین‌تر از ارزشِ واقعی‌اش می‌شود.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علاوه بر دروازه‌ی اقتصادی، یک </w:t>
      </w:r>
      <w:r>
        <w:rPr>
          <w:rFonts w:ascii="B Nazanin" w:cs="B Nazanin" w:eastAsia="B Nazanin" w:hAnsi="B Nazanin"/>
          <w:b/>
          <w:bCs/>
          <w:i w:val="false"/>
          <w:iCs w:val="false"/>
          <w:color w:val="1a1a1a"/>
          <w:sz w:val="26"/>
          <w:szCs w:val="26"/>
          <w:rtl/>
        </w:rPr>
        <w:t xml:space="preserve">دروازه‌ی روند (Trend Gate)</w:t>
      </w:r>
      <w:r>
        <w:rPr>
          <w:rFonts w:ascii="B Nazanin" w:cs="B Nazanin" w:eastAsia="B Nazanin" w:hAnsi="B Nazanin"/>
          <w:b w:val="false"/>
          <w:bCs w:val="false"/>
          <w:i w:val="false"/>
          <w:iCs w:val="false"/>
          <w:color w:val="1a1a1a"/>
          <w:sz w:val="26"/>
          <w:szCs w:val="26"/>
          <w:rtl/>
        </w:rPr>
        <w:t xml:space="preserve"> نیز پیاده‌سازی شده است: هنگامی که سیگنالِ روندِ صعودیِ قوی (بر پایه‌ی همگراییِ میانگین‌های متحرک و مومنتومِ چند-بازه‌ای، هر دو محاسبه‌شده صرفاً از داده‌ی تا لحظه‌ی جاری) فعال باشد، فروشِ اختیارِ خرید به‌طورِ کامل متوقف می‌شود تا سقفِ سود در بحبوحه‌ی یک رالیِ قوی از دست نرود — رفتاری که دسک‌های واقعیِ Buy-Write نیز در عمل به‌کار می‌گیرند. هیچ‌یک از این دو دروازه به قیمت‌های آینده یا برچسبِ هدف نگاه نمی‌کنند؛ تنها منطقِ خودِ استراتژی، نه منطقِ مدل، واقع‌بینانه‌تر شده است.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عملکردِ استراتژی با معیارهای استانداردِ مالی — نسبتِ شارپ، نسبتِ سورتینو، نسبتِ کالمار و حداکثرِ افتِ سرمایه — سنجیده می‌شود. نسبتِ شارپِ سالانه‌شده با توجه به اینکه بازدهیِ زیرین بر پایه‌ی افق H روزه محاسبه شده (نه بازدهیِ روزانه)، با فاکتورِ زیر تصحیح می‌شود:</w:t>
      </w:r>
    </w:p>
    <w:p>
      <w:pPr>
        <w:spacing w:after="120" w:before="120"/>
        <w:jc w:val="center"/>
      </w:pPr>
      <w:r>
        <w:drawing>
          <wp:inline distT="0" distB="0" distL="0" distR="0">
            <wp:extent cx="2857500" cy="80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857500" cy="809625"/>
                    </a:xfrm>
                    <a:prstGeom prst="rect">
                      <a:avLst/>
                    </a:prstGeom>
                  </pic:spPr>
                </pic:pic>
              </a:graphicData>
            </a:graphic>
          </wp:inline>
        </w:drawing>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۳-۱۱ — بهینه‌سازیِ پرتفوی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آخرین مرحله‌ی خط‌لوله، بازدهیِ روزانه‌ی استراتژیِ Covered-Call برایِ هر شش نماد در کنارِ هم قرار می‌گیرد و یک مسئله‌ی بهینه‌سازیِ پرتفوی به سبکِ </w:t>
      </w:r>
      <w:r>
        <w:rPr>
          <w:rFonts w:ascii="B Nazanin" w:cs="B Nazanin" w:eastAsia="B Nazanin" w:hAnsi="B Nazanin"/>
          <w:b/>
          <w:bCs/>
          <w:i w:val="false"/>
          <w:iCs w:val="false"/>
          <w:color w:val="1a1a1a"/>
          <w:sz w:val="26"/>
          <w:szCs w:val="26"/>
          <w:rtl/>
        </w:rPr>
        <w:t xml:space="preserve">مارکویتز</w:t>
      </w:r>
      <w:r>
        <w:rPr>
          <w:rFonts w:ascii="B Nazanin" w:cs="B Nazanin" w:eastAsia="B Nazanin" w:hAnsi="B Nazanin"/>
          <w:b w:val="false"/>
          <w:bCs w:val="false"/>
          <w:i w:val="false"/>
          <w:iCs w:val="false"/>
          <w:color w:val="1a1a1a"/>
          <w:sz w:val="26"/>
          <w:szCs w:val="26"/>
          <w:rtl/>
        </w:rPr>
        <w:t xml:space="preserve"> با هدفِ بیشینه‌سازیِ نسبتِ شارپ حل می‌شود:</w:t>
      </w:r>
    </w:p>
    <w:p>
      <w:pPr>
        <w:spacing w:after="120" w:before="120"/>
        <w:jc w:val="center"/>
      </w:pPr>
      <w:r>
        <w:drawing>
          <wp:inline distT="0" distB="0" distL="0" distR="0">
            <wp:extent cx="476250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790575"/>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این رابطه، </w:t>
      </w:r>
      <w:r>
        <w:rPr>
          <w:rFonts w:ascii="B Nazanin" w:cs="B Nazanin" w:eastAsia="B Nazanin" w:hAnsi="B Nazanin"/>
          <w:b w:val="false"/>
          <w:bCs w:val="false"/>
          <w:i/>
          <w:iCs/>
          <w:color w:val="1a1a1a"/>
          <w:sz w:val="26"/>
          <w:szCs w:val="26"/>
          <w:rtl/>
        </w:rPr>
        <w:t xml:space="preserve">μ</w:t>
      </w:r>
      <w:r>
        <w:rPr>
          <w:rFonts w:ascii="B Nazanin" w:cs="B Nazanin" w:eastAsia="B Nazanin" w:hAnsi="B Nazanin"/>
          <w:b w:val="false"/>
          <w:bCs w:val="false"/>
          <w:i w:val="false"/>
          <w:iCs w:val="false"/>
          <w:color w:val="1a1a1a"/>
          <w:sz w:val="26"/>
          <w:szCs w:val="26"/>
          <w:rtl/>
        </w:rPr>
        <w:t xml:space="preserve"> بردارِ بازدهیِ موردانتظارِ سالانه‌شده، </w:t>
      </w:r>
      <w:r>
        <w:rPr>
          <w:rFonts w:ascii="B Nazanin" w:cs="B Nazanin" w:eastAsia="B Nazanin" w:hAnsi="B Nazanin"/>
          <w:b w:val="false"/>
          <w:bCs w:val="false"/>
          <w:i/>
          <w:iCs/>
          <w:color w:val="1a1a1a"/>
          <w:sz w:val="26"/>
          <w:szCs w:val="26"/>
          <w:rtl/>
        </w:rPr>
        <w:t xml:space="preserve">Σ</w:t>
      </w:r>
      <w:r>
        <w:rPr>
          <w:rFonts w:ascii="B Nazanin" w:cs="B Nazanin" w:eastAsia="B Nazanin" w:hAnsi="B Nazanin"/>
          <w:b w:val="false"/>
          <w:bCs w:val="false"/>
          <w:i w:val="false"/>
          <w:iCs w:val="false"/>
          <w:color w:val="1a1a1a"/>
          <w:sz w:val="26"/>
          <w:szCs w:val="26"/>
          <w:rtl/>
        </w:rPr>
        <w:t xml:space="preserve"> ماتریسِ کوواریانسِ سالانه‌شده، و </w:t>
      </w:r>
      <w:r>
        <w:rPr>
          <w:rFonts w:ascii="B Nazanin" w:cs="B Nazanin" w:eastAsia="B Nazanin" w:hAnsi="B Nazanin"/>
          <w:b w:val="false"/>
          <w:bCs w:val="false"/>
          <w:i/>
          <w:iCs/>
          <w:color w:val="1a1a1a"/>
          <w:sz w:val="26"/>
          <w:szCs w:val="26"/>
          <w:rtl/>
        </w:rPr>
        <w:t xml:space="preserve">w_max</w:t>
      </w:r>
      <w:r>
        <w:rPr>
          <w:rFonts w:ascii="B Nazanin" w:cs="B Nazanin" w:eastAsia="B Nazanin" w:hAnsi="B Nazanin"/>
          <w:b w:val="false"/>
          <w:bCs w:val="false"/>
          <w:i w:val="false"/>
          <w:iCs w:val="false"/>
          <w:color w:val="1a1a1a"/>
          <w:sz w:val="26"/>
          <w:szCs w:val="26"/>
          <w:rtl/>
        </w:rPr>
        <w:t xml:space="preserve"> سقفِ وزنِ هر نماد (برایِ جلوگیری از تمرکزِ بیش‌ازحد در یک دارایی) است. حلِ این مسئله با روشِ SLSQP انجام می‌شود و علاوه بر پرتفویِ بیشینه‌شارپ، دو سناریوی مکملِ کمینه‌واریانس و وزنِ برابر نیز برایِ مقایسه محاسبه می‌شوند.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نکته‌ی روش‌شناختیِ مهم این است که چون افقِ H می‌تواند از نمادی به نمادِ دیگر متفاوت باشد (بخش ۳-۵-۱)، بازدهیِ هر ستون پیش از محاسبه‌ی میانگین و کوواریانس با فاکتورِ سالانه‌سازیِ اختصاصیِ خودش مقیاس می‌شود، نه یک فاکتورِ سراسری؛ برایِ عناصرِ غیرِقطریِ ماتریسِ کوواریانس (یعنی کوواریانسِ میانِ دو نمادِ با افقِ متفاوت)، از تقریبِ استانداردِ میانگینِ هندسیِ دو فاکتورِ سالانه‌سازی استفاده می‌شود. این یک تقریب است، نه معادلِ ریاضیِ دقیقِ ترکیبِ سری‌های بازدهیِ هم‌پوشان با فرکانسِ متفاوت، و به‌عنوانِ یکی از محدودیت‌های روش‌شناختیِ این پژوهش به‌صراحت ثبت می‌شود.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۳-۱۲ — چارچوبِ کنترلیِ HONEST/FRAUD برایِ اعتبارسنجیِ روش‌شناسی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کنارِ خط‌لوله‌یِ اصلی — که در این فصل با عنوانِ </w:t>
      </w:r>
      <w:r>
        <w:rPr>
          <w:rFonts w:ascii="B Nazanin" w:cs="B Nazanin" w:eastAsia="B Nazanin" w:hAnsi="B Nazanin"/>
          <w:b/>
          <w:bCs/>
          <w:i w:val="false"/>
          <w:iCs w:val="false"/>
          <w:color w:val="1a1a1a"/>
          <w:sz w:val="26"/>
          <w:szCs w:val="26"/>
          <w:rtl/>
        </w:rPr>
        <w:t xml:space="preserve">HONEST</w:t>
      </w:r>
      <w:r>
        <w:rPr>
          <w:rFonts w:ascii="B Nazanin" w:cs="B Nazanin" w:eastAsia="B Nazanin" w:hAnsi="B Nazanin"/>
          <w:b w:val="false"/>
          <w:bCs w:val="false"/>
          <w:i w:val="false"/>
          <w:iCs w:val="false"/>
          <w:color w:val="1a1a1a"/>
          <w:sz w:val="26"/>
          <w:szCs w:val="26"/>
          <w:rtl/>
        </w:rPr>
        <w:t xml:space="preserve"> شناخته می‌شود — یک مسیرِ کنترلیِ کاملاً موازی نیز پیاده‌سازی شده است تا تأثیرِ کمّیِ نشتِ اطلاعات را به‌طورِ عینی نشان دهد. این مسیرِ کنترلی با افزودنِ </w:t>
      </w:r>
      <w:r>
        <w:rPr>
          <w:rFonts w:ascii="B Nazanin" w:cs="B Nazanin" w:eastAsia="B Nazanin" w:hAnsi="B Nazanin"/>
          <w:b/>
          <w:bCs/>
          <w:i w:val="false"/>
          <w:iCs w:val="false"/>
          <w:color w:val="1a1a1a"/>
          <w:sz w:val="26"/>
          <w:szCs w:val="26"/>
          <w:rtl/>
        </w:rPr>
        <w:t xml:space="preserve">دقیقاً یک فیچرِ آلوده</w:t>
      </w:r>
      <w:r>
        <w:rPr>
          <w:rFonts w:ascii="B Nazanin" w:cs="B Nazanin" w:eastAsia="B Nazanin" w:hAnsi="B Nazanin"/>
          <w:b w:val="false"/>
          <w:bCs w:val="false"/>
          <w:i w:val="false"/>
          <w:iCs w:val="false"/>
          <w:color w:val="1a1a1a"/>
          <w:sz w:val="26"/>
          <w:szCs w:val="26"/>
          <w:rtl/>
        </w:rPr>
        <w:t xml:space="preserve"> به مجموعه‌ی فیچرهایِ صحیح ساخته می‌شود: میانگینِ متحرکِ مرکزی (rolling با پارامترِ center=True)، که برخلافِ میانگینِ متحرکِ معمولی، برایِ محاسبه‌ی مقدارِ روزِ t از داده‌یِ روزهایِ </w:t>
      </w:r>
      <w:r>
        <w:rPr>
          <w:rFonts w:ascii="B Nazanin" w:cs="B Nazanin" w:eastAsia="B Nazanin" w:hAnsi="B Nazanin"/>
          <w:b w:val="false"/>
          <w:bCs w:val="false"/>
          <w:i/>
          <w:iCs/>
          <w:color w:val="1a1a1a"/>
          <w:sz w:val="26"/>
          <w:szCs w:val="26"/>
          <w:rtl/>
        </w:rPr>
        <w:t xml:space="preserve">پس از</w:t>
      </w:r>
      <w:r>
        <w:rPr>
          <w:rFonts w:ascii="B Nazanin" w:cs="B Nazanin" w:eastAsia="B Nazanin" w:hAnsi="B Nazanin"/>
          <w:b w:val="false"/>
          <w:bCs w:val="false"/>
          <w:i w:val="false"/>
          <w:iCs w:val="false"/>
          <w:color w:val="1a1a1a"/>
          <w:sz w:val="26"/>
          <w:szCs w:val="26"/>
          <w:rtl/>
        </w:rPr>
        <w:t xml:space="preserve"> t نیز استفاده می‌کند — یعنی مستقیماً اطلاعاتِ آینده را نشت می‌دهد.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مسیرِ کنترلی از یک زیرمجموعه‌ی محدودترِ پنج مدل (LightGBM، XGBoost، Random Forest، و دو رویکردِ ترکیبیِ متناظر — بدونِ CatBoost، MLP، LSTM یا CNN-LSTM) استفاده می‌کند تا حتی با مجموعه‌ای ضعیف‌تر از مدل‌ها، تأثیرِ خودِ نشتِ اطلاعات به‌وضوح قابلِ مشاهده باشد. تمامیِ مراحلِ پایین‌دستی — تورنمنت، یادگیریِ ترکیبی، تحلیلِ اهمیتِ فیچر و بک‌تست — به‌طورِ کامل برایِ این مسیرِ کنترلی نیز تکرار می‌شوند تا امکانِ مقایسه‌ی مستقیم و سلول‌به‌سلول با مسیرِ HONEST فراهم شود.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تأکید می‌شود که مسیرِ FRAUD </w:t>
      </w:r>
      <w:r>
        <w:rPr>
          <w:rFonts w:ascii="B Nazanin" w:cs="B Nazanin" w:eastAsia="B Nazanin" w:hAnsi="B Nazanin"/>
          <w:b/>
          <w:bCs/>
          <w:i w:val="false"/>
          <w:iCs w:val="false"/>
          <w:color w:val="1a1a1a"/>
          <w:sz w:val="26"/>
          <w:szCs w:val="26"/>
          <w:rtl/>
        </w:rPr>
        <w:t xml:space="preserve">هیچ‌گاه</w:t>
      </w:r>
      <w:r>
        <w:rPr>
          <w:rFonts w:ascii="B Nazanin" w:cs="B Nazanin" w:eastAsia="B Nazanin" w:hAnsi="B Nazanin"/>
          <w:b w:val="false"/>
          <w:bCs w:val="false"/>
          <w:i w:val="false"/>
          <w:iCs w:val="false"/>
          <w:color w:val="1a1a1a"/>
          <w:sz w:val="26"/>
          <w:szCs w:val="26"/>
          <w:rtl/>
        </w:rPr>
        <w:t xml:space="preserve"> منبعِ گزارشِ رسمی یا مبنایِ هیچ تصمیمِ سرمایه‌گذاری نیست؛ کارکردِ آن صرفاً آموزشی و کنترلی است — نمایشِ اینکه معیارهایِ عملکردِ به‌ظاهر برتر (نظیرِ AUC بالاتر) می‌توانند به‌سادگی محصولِ یک باگِ ظریفِ مهندسیِ فیچر باشند، نه مهارتِ واقعیِ مدل. جزئیاتِ کمّیِ این مقایسه، همانندِ سایرِ نتایج، در فصلِ نتایج ارائه خواهد شد.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۳-۱۳ — جمع‌بندیِ فصل</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این فصل، معماریِ کاملِ سامانه‌ی پیشنهادی — از دریافتِ داده‌ی خامِ قیمتی تا بهینه‌سازیِ نهاییِ پرتفوی — به‌تفصیل شرح داده شد. سامانه بر پایه‌ی سه اصلِ راهنما ساخته شده: علّیتِ سخت‌گیرانه در تمامیِ محاسبات، اعتبارسنجیِ چندلایه (شاملِ تفکیکِ زمانیِ حذف‌شده و اعتبارسنجیِ غلتانِ زمانی)، و صداقتِ روش‌شناختی (از طریقِ مقایسه‌ی صریح با یک مسیرِ کنترلیِ دارایِ نشتِ اطلاعات). نوآوری‌های اصلیِ این رویکرد نسبت به رویه‌های رایج عبارت‌اند از: تورنمنتِ انتخابِ افقِ پیش‌بینیِ اختصاصیِ هر نماد به‌جایِ یک افقِ ثابتِ دلبخواهی، افزودنِ یک مکانیزمِ خودکارِ ایمنی‌سازیِ انتخاب که خروجیِ اعتبارسنجیِ غلتانِ زمانی را واقعاً در گزارشِ نهایی اثر می‌دهد (نه صرفاً به‌عنوانِ ابزاری تشخیصیِ بدونِ پیامد)، بهره‌گیری از یک فیچرِ کلانِ اقتصادیِ برون‌زا در کنارِ فیچرهایِ مبتنی بر خودِ قیمت، و طراحیِ یک موتورِ بک‌تست که پوزیسیونِ سهام را به‌طورِ کامل حفظ می‌کند تا مقایسه با راهبردِ خرید-و-نگهداری از پایه منصفانه بماند. فصلِ بعد، نتایجِ حاصل از اجرایِ کاملِ این سامانه را — به‌همراهِ تحلیلِ صادقانه‌ی هم دستاوردها و هم محدودیت‌ها — ارائه خواهد داد.</w:t>
      </w:r>
    </w:p>
    <w:sectPr>
      <w:headerReference w:type="default" r:id="rId7"/>
      <w:footerReference w:type="default" r:id="rId8"/>
      <w:pgSz w:w="11906" w:h="16838" w:orient="portrait"/>
      <w:pgMar w:top="1418" w:right="1418" w:bottom="1418" w:left="1418"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 Nazanin" w:cs="B Nazanin" w:eastAsia="B Nazanin" w:hAnsi="B Nazanin"/>
        <w:sz w:val="18"/>
        <w:szCs w:val="18"/>
      </w:rPr>
      <w:t xml:space="preserve"/>
    </w:r>
    <w:r>
      <w:rPr>
        <w:rFonts w:ascii="B Nazanin" w:cs="B Nazanin" w:eastAsia="B Nazanin" w:hAnsi="B Nazanin"/>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bidi/>
      <w:jc w:val="center"/>
    </w:pPr>
    <w:r>
      <w:rPr>
        <w:rFonts w:ascii="B Nazanin" w:cs="B Nazanin" w:eastAsia="B Nazanin" w:hAnsi="B Nazanin"/>
        <w:color w:val="555555"/>
        <w:sz w:val="18"/>
        <w:szCs w:val="18"/>
        <w:rtl/>
      </w:rPr>
      <w:t xml:space="preserve">فصل سوم — رویکرد پیشنهادی و معماری سامانه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720" w:hanging="360"/>
      </w:pPr>
    </w:lvl>
    <w:lvl w:ilvl="1" w15:tentative="1">
      <w:start w:val="1"/>
      <w:numFmt w:val="bullet"/>
      <w:lvlText w:val="◦"/>
      <w:lvlJc w:val="right"/>
      <w:pPr>
        <w:ind w:righ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 Nazanin" w:cs="B Nazanin" w:eastAsia="B Nazanin" w:hAnsi="B Nazanin"/>
        <w:sz w:val="26"/>
        <w:szCs w:val="26"/>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3ffc79be32d6a6f29f3d550b134a89bf23060c3.png"/><Relationship Id="rId10" Type="http://schemas.openxmlformats.org/officeDocument/2006/relationships/image" Target="media/35aa8216aa4c2077a48ee2d8e41460a56c261beb.png"/><Relationship Id="rId11" Type="http://schemas.openxmlformats.org/officeDocument/2006/relationships/image" Target="media/f43bcc96ffbf40adc272ef53704f5597e694a154.png"/><Relationship Id="rId12" Type="http://schemas.openxmlformats.org/officeDocument/2006/relationships/image" Target="media/629fb449bdbe709eedf05106dfabf39e40731a89.png"/><Relationship Id="rId13" Type="http://schemas.openxmlformats.org/officeDocument/2006/relationships/image" Target="media/ee7c25faddff45cbfa5949ed5e30b01caf675539.png"/><Relationship Id="rId14" Type="http://schemas.openxmlformats.org/officeDocument/2006/relationships/image" Target="media/ad0a76980f0e692eb8fe1d6d9799b34b26e380e7.png"/><Relationship Id="rId15" Type="http://schemas.openxmlformats.org/officeDocument/2006/relationships/image" Target="media/0ea772c4fb50e67e2e4df6328387b2ee4ac37714.png"/><Relationship Id="rId16" Type="http://schemas.openxmlformats.org/officeDocument/2006/relationships/image" Target="media/7bb715dab10917316217d80a73f701cfd928b6cf.png"/><Relationship Id="rId17" Type="http://schemas.openxmlformats.org/officeDocument/2006/relationships/image" Target="media/3d12210103a621b104d373d18106d51e313eb130.png"/><Relationship Id="rId18" Type="http://schemas.openxmlformats.org/officeDocument/2006/relationships/image" Target="media/e4675fa43e1a3989f43ab623e41a68bea2420bcf.png"/><Relationship Id="rId19" Type="http://schemas.openxmlformats.org/officeDocument/2006/relationships/image" Target="media/267f552d62e4f577154deec8ca49d1cd393e84e7.png"/><Relationship Id="rId20" Type="http://schemas.openxmlformats.org/officeDocument/2006/relationships/image" Target="media/fbec311361460727069b529565ad577dba93da46.png"/><Relationship Id="rId21" Type="http://schemas.openxmlformats.org/officeDocument/2006/relationships/image" Target="media/406eaf3df88d49f23f412ae7b4e490e0820eea1a.png"/><Relationship Id="rId22" Type="http://schemas.openxmlformats.org/officeDocument/2006/relationships/image" Target="media/4f2123d793b5245faebd837d012314480a429db3.png"/><Relationship Id="rId23" Type="http://schemas.openxmlformats.org/officeDocument/2006/relationships/image" Target="media/f3b0398a47d262d0e825d3ebdee3f974ed76d795.png"/><Relationship Id="rId24" Type="http://schemas.openxmlformats.org/officeDocument/2006/relationships/image" Target="media/59800413118711b455b2da9b7c14b9eaa1b5b18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2026-09-04T07:39:45.586Z</dcterms:created>
  <dcterms:modified xsi:type="dcterms:W3CDTF">2026-09-04T07:39:45.586Z</dcterms:modified>
</cp:coreProperties>
</file>

<file path=docProps/custom.xml><?xml version="1.0" encoding="utf-8"?>
<Properties xmlns="http://schemas.openxmlformats.org/officeDocument/2006/custom-properties" xmlns:vt="http://schemas.openxmlformats.org/officeDocument/2006/docPropsVTypes"/>
</file>