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B Nazanin" w:cs="B Nazanin" w:eastAsia="B Nazanin" w:hAnsi="B Nazanin"/>
          <w:b/>
          <w:bCs/>
          <w:color w:val="1e3a5f"/>
          <w:sz w:val="44"/>
          <w:szCs w:val="44"/>
          <w:rtl/>
        </w:rPr>
        <w:t xml:space="preserve">فصل دوم</w:t>
      </w:r>
    </w:p>
    <w:p>
      <w:pPr>
        <w:bidi/>
        <w:spacing w:after="480"/>
        <w:jc w:val="center"/>
      </w:pPr>
      <w:r>
        <w:rPr>
          <w:rFonts w:ascii="B Nazanin" w:cs="B Nazanin" w:eastAsia="B Nazanin" w:hAnsi="B Nazanin"/>
          <w:b/>
          <w:bCs/>
          <w:color w:val="1a1a1a"/>
          <w:sz w:val="38"/>
          <w:szCs w:val="38"/>
          <w:rtl/>
        </w:rPr>
        <w:t xml:space="preserve">ادبیات موضوع، مبانی نظری و پیشینه‌ی پژوهش</w:t>
      </w:r>
    </w:p>
    <w:p>
      <w:pPr>
        <w:bidi/>
        <w:spacing w:after="120"/>
        <w:jc w:val="center"/>
      </w:pPr>
      <w:r>
        <w:rPr>
          <w:rFonts w:ascii="B Nazanin" w:cs="B Nazanin" w:eastAsia="B Nazanin" w:hAnsi="B Nazanin"/>
          <w:i/>
          <w:iCs/>
          <w:color w:val="555555"/>
          <w:sz w:val="24"/>
          <w:szCs w:val="24"/>
          <w:rtl/>
        </w:rPr>
        <w:t xml:space="preserve">مدیریت سبد سرمایه‌گذاری از طریق روش اختیار خرید پوشش‌داده‌شده با استفاده از یادگیری عمیق</w:t>
      </w:r>
    </w:p>
    <w:p>
      <w:pPr>
        <w:bidi/>
        <w:spacing w:after="100"/>
        <w:jc w:val="center"/>
      </w:pPr>
      <w:r>
        <w:rPr>
          <w:rFonts w:ascii="B Nazanin" w:cs="B Nazanin" w:eastAsia="B Nazanin" w:hAnsi="B Nazanin"/>
          <w:color w:val="555555"/>
          <w:sz w:val="22"/>
          <w:szCs w:val="22"/>
          <w:rtl/>
        </w:rPr>
        <w:t xml:space="preserve">مطالعه‌ی موردی: بورس اوراق بهادار تهران</w:t>
      </w:r>
    </w:p>
    <w:p>
      <w:r>
        <w:br w:type="page"/>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۲-۱ — مقدمه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پژوهش در تقاطع سه حوزه‌ی نسبتاً متفاوت قرار گرفته است: مهندسی مالی و قیمت‌گذاری ابزارهای مشتقه، یادگیری ماشین و یادگیری عمیق، و اقتصادسنجی بازارهای نوظهور. خواننده‌ای که تنها از یکی از این سه پیشینه بیاید، به احتمال زیاد با اصطلاحات یا چارچوب‌های حوزه‌های دیگر آشنایی کامل ندارد. به همین دلیل، پیش از ورود به مرور پیشینه‌ی پژوهش‌های تجربی، بخش قابل توجهی از این فصل (بخش ۲-۲) به تعریف دقیق مفاهیم پایه‌ای اختصاص یافته که در ادامه‌ی پایان‌نامه، به‌ویژه در فصل سوم، بدون توضیح مجدد به کار خواهند رفت.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پس از تعاریف، بخش ۲-۳ مبانی نظری حاکم بر طراحی این پژوهش را می‌آورد: فرضیه‌ی بازار کارا و بدیل تطبیقی آن، نظریه‌ی پرتفوی مدرن، چارچوب قیمت‌گذاری اختیار معامله، و نیم‌نگاهی به مالی رفتاری که توضیح می‌دهد چرا اصلاً انتظار می‌رود بازارها، حتی اگر کارا هم باشند، همیشه بلافاصله کارا نشوند. از بخش ۲-۴ تا ۲-۱۱، پیشینه‌ی تجربی پژوهش به تفکیک موضوع مرور می‌شود؛ هر بخش با یک یا دو جمله به این نکته می‌پردازد که یافته‌ی مرورشده دقیقاً کدام تصمیم طراحی را در فصل سوم توجیه کرده است، تا این فصل صرفاً فهرستی از خلاصه‌های جدا از هم نباشد. بخش ۲-۱۲ همه‌ی این مطالعات را در قالب یک جدول مقایسه‌ای گرد هم می‌آورد و بخش ۲-۱۳، با تکیه بر همین جدول، شکاف‌های پژوهشی را که این پایان‌نامه در پی پرکردن آن‌هاست فهرست می‌کند. فهرست کامل منابع در انتهای فصل آمده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۲-۲ — تعاریف و مفاهیم پایه</w:t>
      </w:r>
    </w:p>
    <w:p>
      <w:pPr>
        <w:pStyle w:val="Heading2"/>
        <w:bidi/>
        <w:spacing w:after="180" w:before="360"/>
        <w:jc w:val="right"/>
      </w:pPr>
      <w:r>
        <w:rPr>
          <w:rFonts w:ascii="B Nazanin" w:cs="B Nazanin" w:eastAsia="B Nazanin" w:hAnsi="B Nazanin"/>
          <w:b/>
          <w:bCs/>
          <w:color w:val="1e3a5f"/>
          <w:sz w:val="30"/>
          <w:szCs w:val="30"/>
          <w:rtl/>
        </w:rPr>
        <w:t xml:space="preserve">۲-۲-۱ بازار سرمایه و بورس اوراق بهادار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بازار سرمایه بستری است که در آن اوراق بهادار با سررسید بیش از یک سال، از جمله سهام و اوراق بدهی، دادوستد می‌شود و نقش اصلی آن هدایت پس‌انداز خانوارها و نهادها به سمت پروژه‌های سرمایه‌گذاری بنگاه‌هاست. بورس اوراق بهادار تهران، به‌عنوان بازار رسمی سهام ایران، از سال ۱۳۴۶ فعالیت می‌کند و مانند اغلب بورس‌های نوظهور، ویژگی‌هایی دارد که آن را از بورس‌های بزرگ (نیویورک، لندن، توکیو) متمایز می‌کند: عمق نقدشوندگی پایین‌تر، سهم بالای سرمایه‌گذار خرد نسبت به نهادی، و مهم‌تر از منظر این پژوهش، سازوکار دامنه‌ی نوسان روزانه که حداکثر تغییر قیمت مجاز هر نماد را در یک روز معاملاتی محدود می‌کند. این محدودیت، که در بورس‌های بزرگ دنیا معادل مستقیمی ندارد، پیامدهای مستقیمی برای مهندسی فیچر (بخش ۳-۴-۲) و اعتبار آماری داده‌های بازدهی روزانه دارد.</w:t>
      </w:r>
    </w:p>
    <w:p>
      <w:pPr>
        <w:pStyle w:val="Heading2"/>
        <w:bidi/>
        <w:spacing w:after="180" w:before="360"/>
        <w:jc w:val="right"/>
      </w:pPr>
      <w:r>
        <w:rPr>
          <w:rFonts w:ascii="B Nazanin" w:cs="B Nazanin" w:eastAsia="B Nazanin" w:hAnsi="B Nazanin"/>
          <w:b/>
          <w:bCs/>
          <w:color w:val="1e3a5f"/>
          <w:sz w:val="30"/>
          <w:szCs w:val="30"/>
          <w:rtl/>
        </w:rPr>
        <w:t xml:space="preserve">۲-۲-۲ سهام عادی، بازدهی و منابع ریسک</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سهم عادی نشان‌دهنده‌ی مالکیت نسبی در یک شرکت سهامی است و بازدهی آن از دو مؤلفه تشکیل می‌شود: تغییر قیمت (بازدهی سرمایه‌ای) و سود تقسیمی. در این پژوهش، به دلیل تمرکز بر افق‌های کوتاه تا میان‌مدت (سه تا بیست روز معاملاتی، بخش ۳-۵)، عملاً تنها مؤلفه‌ی نخست مدل‌سازی می‌شود. ریسک سرمایه‌گذاری در سهم را می‌توان به دو بخش تجزیه کرد: ریسک سیستماتیک، که از عوامل کلان اقتصادی (نرخ ارز، تورم، نرخ بهره) ناشی می‌شود و با تنوع‌بخشی پرتفوی حذف نمی‌شود، و ریسک غیرسیستماتیک، که ویژه‌ی هر شرکت است و از طریق نگهداری همزمان چند دارایی کاهش می‌یابد. مبنای نظری تفکیک این دو نوع ریسک، که در بخش ۲-۳-۲ به تفصیل به آن پرداخته می‌شود، مستقیماً از نظریه‌ی پرتفوی مارکویتز می‌آید.</w:t>
      </w:r>
    </w:p>
    <w:p>
      <w:pPr>
        <w:pStyle w:val="Heading2"/>
        <w:bidi/>
        <w:spacing w:after="180" w:before="360"/>
        <w:jc w:val="right"/>
      </w:pPr>
      <w:r>
        <w:rPr>
          <w:rFonts w:ascii="B Nazanin" w:cs="B Nazanin" w:eastAsia="B Nazanin" w:hAnsi="B Nazanin"/>
          <w:b/>
          <w:bCs/>
          <w:color w:val="1e3a5f"/>
          <w:sz w:val="30"/>
          <w:szCs w:val="30"/>
          <w:rtl/>
        </w:rPr>
        <w:t xml:space="preserve">۲-۲-۳ قراردادهای اختیار معامله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اختیار معامله (Option) قراردادی است که به دارنده‌ی آن، نه الزام، بلکه حق خرید یا فروش یک دارایی پایه با قیمتی از پیش‌تعیین‌شده (قیمت اعمال یا Strike Price) تا یا در تاریخ سررسید مشخص می‌دهد. دو نوع اصلی این قرارداد عبارت‌اند از اختیار خرید (Call) که حق خرید دارایی پایه را می‌دهد، و اختیار فروش (Put) که حق فروش آن را. خریدار اختیار معامله در ازای این حق، مبلغی به نام پرمیوم به فروشنده (نویسنده‌ی قرارداد) می‌پردازد. یک اختیار خرید زمانی «در پول» (In-the-Money) است که قیمت دارایی پایه بالاتر از قیمت اعمال باشد، «بی‌پول» (At-the-Money) وقتی این دو تقریباً برابرند، و «بیرون از پول» (Out-of-the-Money) وقتی قیمت پایه پایین‌تر از قیمت اعمال است (Hull, 2022). این پژوهش، طبق فرضیات بخش ۳-۱۲-۱، از اختیار خریدی استفاده می‌کند که قیمت اعمال آن ۴ درصد بالاتر از قیمت جاری سهم تعیین می‌شود، یعنی در لحظه‌ی فروش همواره اندکی بیرون از پول است.</w:t>
      </w:r>
    </w:p>
    <w:p>
      <w:pPr>
        <w:pStyle w:val="Heading2"/>
        <w:bidi/>
        <w:spacing w:after="180" w:before="360"/>
        <w:jc w:val="right"/>
      </w:pPr>
      <w:r>
        <w:rPr>
          <w:rFonts w:ascii="B Nazanin" w:cs="B Nazanin" w:eastAsia="B Nazanin" w:hAnsi="B Nazanin"/>
          <w:b/>
          <w:bCs/>
          <w:color w:val="1e3a5f"/>
          <w:sz w:val="30"/>
          <w:szCs w:val="30"/>
          <w:rtl/>
        </w:rPr>
        <w:t xml:space="preserve">۲-۲-۴ حروف یونانی و حساسیت قیمت اختیار معامله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قیمت یک اختیار معامله به چند متغیر حساس است که در ادبیات مالی با حروف یونانی نامیده می‌شوند: دلتا (Delta) میزان تغییر قیمت آپشن به ازای هر واحد تغییر قیمت دارایی پایه را نشان می‌دهد و تقریباً معادل احتمال دلتا-خنثای در پول بودن آپشن در سررسید است؛ گاما (Gamma) نرخ تغییر دلتا را می‌سنجد؛ وگا (Vega) حساسیت قیمت آپشن به تغییر نوسان‌پذیری ضمنی دارایی پایه است؛ و تتا (Theta) نرخ کاهش ارزش زمانی آپشن با نزدیک‌شدن به سررسید را نشان می‌دهد. هرچند این پژوهش مدل قیمت‌گذاری کاملی برای هر یک از این حساسیت‌ها پیاده‌سازی نمی‌کند (تصمیم فروش کال صرفاً بر پایه‌ی مقایسه‌ی پرمیوم فرضی بازار با پرمیوم منصفانه‌ی بلک-شولز اتخاذ می‌شود، بخش ۳-۱۲-۱)، آشنایی با این مفاهیم برای تفسیر درست رفتار پرمیوم منصفانه در برابر تغییرات نوسان‌پذیری (که در عمل بازتاب وگا است) ضروری است.</w:t>
      </w:r>
    </w:p>
    <w:p>
      <w:pPr>
        <w:pStyle w:val="Heading2"/>
        <w:bidi/>
        <w:spacing w:after="180" w:before="360"/>
        <w:jc w:val="right"/>
      </w:pPr>
      <w:r>
        <w:rPr>
          <w:rFonts w:ascii="B Nazanin" w:cs="B Nazanin" w:eastAsia="B Nazanin" w:hAnsi="B Nazanin"/>
          <w:b/>
          <w:bCs/>
          <w:color w:val="1e3a5f"/>
          <w:sz w:val="30"/>
          <w:szCs w:val="30"/>
          <w:rtl/>
        </w:rPr>
        <w:t xml:space="preserve">۲-۲-۵ استراتژی‌های معاملاتی مبتنی بر اختیار معامله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فراتر از خرید یا فروش تنهای یک آپشن، ترکیب آپشن با دارایی پایه یا با آپشن‌های دیگر، خانواده‌ای از استراتژی‌ها با نمایه‌های ریسک-بازده متفاوت پدید می‌آورد. اختیار خرید پوشش‌داده‌شده (Covered Call)، که موضوع اصلی این پایان‌نامه است، از نگهداری سهم پایه همراه با فروش اختیار خرید بر همان سهم تشکیل می‌شود: سرمایه‌گذار درآمد پرمیوم را به دست می‌آورد اما در ازای آن، سود احتمالی بالاتر از قیمت اعمال را از دست می‌دهد. اختیار فروش حفاظتی (Protective Put)، برعکس، از خرید یک اختیار فروش برای محدودکردن زیان احتمالی نزولی یک موقعیت خرید تشکیل می‌شود و شبیه بیمه عمل می‌کند. ترکیب یک‌جای این دو، یعنی خرید همزمان پوت حفاظتی و فروش کال، به استراتژی یقه (Collar) معروف است. سایر استراتژی‌های رایج شامل استرادل (Straddle، خرید همزمان کال و پوت با قیمت اعمال یکسان برای شرط‌بندی بر نوسان بدون توجه به جهت) و اسپردهای عمودی هستند.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انتخاب Covered Call در میان این خانواده، به دو دلیل صورت گرفته است. نخست، شواهد تجربی طولانی‌مدت (Whaley, 2002) نشان می‌دهند این استراتژی، برخلاف بسیاری از راهبردهای مبتنی بر آپشن، در عمل نوسان‌پذیری واقعی پرتفوی را کاهش می‌دهد، نه فقط در تئوری. دوم، این استراتژی به سرمایه‌گذاری که از پیش سهم را در اختیار دارد نیازی به سرمایه‌ی اضافی برای خرید آپشن ندارد و بنابراین برای سرمایه‌گذار خرد ایرانی، که دسترسی گسترده به ابزارهای مشتقه پیچیده‌تر محدودتر است، عملی‌تر است.</w:t>
      </w:r>
    </w:p>
    <w:p>
      <w:pPr>
        <w:pStyle w:val="Heading2"/>
        <w:bidi/>
        <w:spacing w:after="180" w:before="360"/>
        <w:jc w:val="right"/>
      </w:pPr>
      <w:r>
        <w:rPr>
          <w:rFonts w:ascii="B Nazanin" w:cs="B Nazanin" w:eastAsia="B Nazanin" w:hAnsi="B Nazanin"/>
          <w:b/>
          <w:bCs/>
          <w:color w:val="1e3a5f"/>
          <w:sz w:val="30"/>
          <w:szCs w:val="30"/>
          <w:rtl/>
        </w:rPr>
        <w:t xml:space="preserve">۲-۲-۶ معیارهای ریسک و ارزیابی عملکرد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ارزیابی هر استراتژی سرمایه‌گذاری نیازمند معیاری است که بازده را در کنار ریسک بسنجد. نسبت شارپ (Sharpe, 1966) بازدهی مازاد بر نرخ بدون‌ریسک را بر انحراف معیار کل بازدهی تقسیم می‌کند و رایج‌ترین معیار این خانواده است؛ نسبت سورتینو (Sortino &amp; Price, 1994) تنها انحراف سمت نزولی را در مخرج لحاظ می‌کند و برای استراتژی‌های نامتقارن مانند Covered Call مناسب‌تر است؛ و نسبت کالمار حداکثر افت سرمایه (Maximum Drawdown) را به‌جای انحراف معیار در مخرج قرار می‌دهد و بر ریسک دنباله تمرکز دارد. در کنار این نسبت‌ها، ارزش در معرض ریسک (Value at Risk یا VaR) بیشترین زیان محتمل در یک افق زمانی و سطح اطمینان معین را برآورد می‌کند، و ارزش در معرض ریسک شرطی (CVaR)، که رافلر و اوریاسوف (Rockafellar &amp; Uryasev, 2000) چارچوب بهینه‌سازی آن را معرفی کردند، میانگین زیان در بدترین سناریوهای فراتر از VaR را می‌سنجد و از نظر ریاضی خاصیت زیرجمع‌پذیری (Subadditivity) دارد که VaR فاقد آن است.</w:t>
      </w:r>
    </w:p>
    <w:p>
      <w:pPr>
        <w:pStyle w:val="Heading2"/>
        <w:bidi/>
        <w:spacing w:after="180" w:before="360"/>
        <w:jc w:val="right"/>
      </w:pPr>
      <w:r>
        <w:rPr>
          <w:rFonts w:ascii="B Nazanin" w:cs="B Nazanin" w:eastAsia="B Nazanin" w:hAnsi="B Nazanin"/>
          <w:b/>
          <w:bCs/>
          <w:color w:val="1e3a5f"/>
          <w:sz w:val="30"/>
          <w:szCs w:val="30"/>
          <w:rtl/>
        </w:rPr>
        <w:t xml:space="preserve">۲-۲-۷ یادگیری ماشین: تعریف، انواع و کاربرد در پیش‌بینی مالی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یادگیری ماشین زیرشاخه‌ای از هوش مصنوعی است که در آن یک الگوریتم، به‌جای برنامه‌نویسی صریح قواعد تصمیم‌گیری، این قواعد را از داده استخراج می‌کند. در یادگیری نظارت‌شده (Supervised Learning)، که این پژوهش از آن استفاده می‌کند، الگوریتم جفت‌های ورودی-خروجی (در اینجا، بردار فیچر هر روز و برچسب صعود/نزول آینده‌ی قیمت) را می‌بیند و تابعی می‌آموزد که بتواند برای ورودی‌های جدید خروجی را پیش‌بینی کند. وقتی خروجی یک کلاس گسسته باشد، مسئله طبقه‌بندی (Classification) نام دارد؛ این پژوهش دقیقاً یک مسئله‌ی طبقه‌بندی دودویی است: آیا قیمت طی افق H روز آینده بیشتر از میانه‌ی بازدهی مجموعه‌ی آموزش رشد می‌کند یا نه (بخش ۳-۵). خانواده‌ی مدل‌های درختی گروهی، که ستون فقرات این پژوهش را تشکیل می‌دهند، از ترکیب چندین درخت تصمیم ساده برای رسیدن به یک پیش‌بینی نهایی قوی‌تر استفاده می‌کنند؛ جزئیات هر یک از این مدل‌ها در بخش ۲-۴ مرور می‌شود.</w:t>
      </w:r>
    </w:p>
    <w:p>
      <w:pPr>
        <w:pStyle w:val="Heading2"/>
        <w:bidi/>
        <w:spacing w:after="180" w:before="360"/>
        <w:jc w:val="right"/>
      </w:pPr>
      <w:r>
        <w:rPr>
          <w:rFonts w:ascii="B Nazanin" w:cs="B Nazanin" w:eastAsia="B Nazanin" w:hAnsi="B Nazanin"/>
          <w:b/>
          <w:bCs/>
          <w:color w:val="1e3a5f"/>
          <w:sz w:val="30"/>
          <w:szCs w:val="30"/>
          <w:rtl/>
        </w:rPr>
        <w:t xml:space="preserve">۲-۲-۸ یادگیری عمیق و شبکه‌های عصبی مصنوعی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یادگیری عمیق زیرمجموعه‌ای از یادگیری ماشین است که در آن مدل از چندین لایه‌ی متوالی از واحدهای پردازشی ساده (نورون‌های مصنوعی) تشکیل شده و هر لایه بازنمایی‌ای انتزاعی‌تر از داده‌ی ورودی می‌سازد (Goodfellow, Bengio, &amp; Courville, 2016). برخلاف مدل‌های درختی که هر مشاهده را مستقل از سایرین پردازش می‌کنند، شبکه‌های عصبی بازگشتی، از جمله معماری حافظه‌ی کوتاه‌مدت بلندمدت (LSTM)، برای پردازش داده‌ی متوالی طراحی شده‌اند و می‌توانند وابستگی میان مشاهدات متوالی (مثلاً روند ۲۰ روز اخیر قیمت) را مدل کنند. شبکه‌های کانولوشنی، که در اصل برای تصویر طراحی شدند، وقتی به‌صورت یک‌بعدی روی سری زمانی اعمال شوند، می‌توانند الگوهای محلی کوتاه‌مدت را بدون نیاز به طراحی دستی فیچر استخراج کنند. جزئیات کامل این معماری‌ها و نحوه‌ی ترکیب آن‌ها در این پژوهش در بخش ۲-۵ و با جزئیات ریاضی کامل در بخش ۳-۸ آمده است.</w:t>
      </w:r>
    </w:p>
    <w:p>
      <w:pPr>
        <w:pStyle w:val="Heading2"/>
        <w:bidi/>
        <w:spacing w:after="180" w:before="360"/>
        <w:jc w:val="right"/>
      </w:pPr>
      <w:r>
        <w:rPr>
          <w:rFonts w:ascii="B Nazanin" w:cs="B Nazanin" w:eastAsia="B Nazanin" w:hAnsi="B Nazanin"/>
          <w:b/>
          <w:bCs/>
          <w:color w:val="1e3a5f"/>
          <w:sz w:val="30"/>
          <w:szCs w:val="30"/>
          <w:rtl/>
        </w:rPr>
        <w:t xml:space="preserve">۲-۲-۹ تحلیل تکنیکال و اندیکاتورهای رایج</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تحلیل تکنیکال رویکردی است که صرفاً از سابقه‌ی قیمت و حجم معاملات، بدون توجه به صورت‌های مالی یا اخبار بنیادی شرکت، برای پیش‌بینی حرکت آینده‌ی قیمت استفاده می‌کند و مبنای آن این فرض است که الگوهای رفتاری بازار تا حدی تکرارشونده‌اند. شاخص قدرت نسبی یا RSI (Wilder, 1978) نسبت میانگین سودهای اخیر به میانگین زیان‌های اخیر را می‌سنجد و برای شناسایی شرایط اشباع خرید یا اشباع فروش به کار می‌رود. همگرایی-واگرایی میانگین متحرک یا MACD (Appel, 2005) تفاضل دو میانگین متحرک نمایی با دوره‌های متفاوت را دنبال می‌کند و سیگنال تغییر روند می‌دهد. باندهای بولینگر (Bollinger, 2001) بازه‌ای اطراف یک میانگین متحرک، متناسب با انحراف معیار اخیر قیمت، ترسیم می‌کنند و برای سنجش نسبی گرانی یا ارزانی قیمت به کار می‌روند. این سه اندیکاتور، به‌همراه ده‌ها اندیکاتور مشابه دیگر، بخش عمده‌ی خانواده‌ی «فیچرهای پایه‌ی تکنیکال» را در مهندسی فیچر این پژوهش تشکیل می‌دهند (بخش ۳-۴-۱). فراتر از اندیکاتورهای فنی، ادبیات مالی رفتار قیمت میان‌مدت را نیز با پدیده‌ی مومنتوم (Jegadeesh &amp; Titman, 1993) توضیح می‌دهد، یعنی گرایش سهام برنده‌ی اخیر به ادامه‌ی روند صعودی طی چند ماه آینده، پدیده‌ای که مستقیماً توجیه‌کننده‌ی وجود فیچرهای مبتنی بر نرخ تغییر و مومنتوم در این پژوهش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۲-۳ — مبانی نظری</w:t>
      </w:r>
    </w:p>
    <w:p>
      <w:pPr>
        <w:pStyle w:val="Heading2"/>
        <w:bidi/>
        <w:spacing w:after="180" w:before="360"/>
        <w:jc w:val="right"/>
      </w:pPr>
      <w:r>
        <w:rPr>
          <w:rFonts w:ascii="B Nazanin" w:cs="B Nazanin" w:eastAsia="B Nazanin" w:hAnsi="B Nazanin"/>
          <w:b/>
          <w:bCs/>
          <w:color w:val="1e3a5f"/>
          <w:sz w:val="30"/>
          <w:szCs w:val="30"/>
          <w:rtl/>
        </w:rPr>
        <w:t xml:space="preserve">۲-۳-۱ فرضیه‌ی بازار کارا و فرضیه‌ی بازارهای تطبیقی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نقطه‌ی آغاز نظری هر پژوهش پیش‌بینی قیمت سهام فرضیه‌ی بازار کارا است که فاما (Fama, 1970) صورت‌بندی کلاسیک آن را ارائه داد: در یک بازار کارا قیمت‌ها به‌طور کامل بازتاب‌دهنده‌ی اطلاعات در دسترس هستند و بنابراین پیش‌بینی سیستماتیک حرکات آتی قیمت، تنها بر پایه‌ی اطلاعات عمومی گذشته، نباید ممکن باشد. اگر این فرضیه به‌طور کامل درست باشد، هر تلاش برای پیش‌بینی جهت قیمت با یادگیری ماشین از پیش محکوم به شکست است. با این حال شواهد تجربی گسترده، از جمله وجود الگوهای مومنتوم (Jegadeesh &amp; Titman, 1993)، نشان می‌دهند کارایی بازار مطلق نیست، به‌ویژه در بازارهای نوظهور با نقدشوندگی پایین‌تر و پوشش تحلیلی محدودتر.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پاسخ نظری متأخرتر به این تناقض، فرضیه‌ی بازارهای تطبیقی (Lo, 2004) است که کارایی را نه یک وضعیت ثابت بلکه محصول رقابت تکاملی میان استراتژی‌های مختلف در محیطی درحال‌تغییر می‌داند؛ طبق این دیدگاه، فرصت‌های پیش‌بینی‌پذیری کوچک و ناپایدار می‌توانند به‌طور موقت وجود داشته باشند تا زمانی که رقابت آن‌ها را از میان ببرد. این چارچوب مبنای نظری اصلی این پایان‌نامه است. انتظار واقع‌بینانه، نه یک مزیت پیش‌بینی بزرگ و پایدار، بلکه یک مهارت کوچک، آماری معنادار و به‌سرعت فرسایش‌پذیر است، همان چیزی که در نتایج فصل چهارم (AUC حدود ۵۴ درصد) دیده می‌شود.</w:t>
      </w:r>
    </w:p>
    <w:p>
      <w:pPr>
        <w:pStyle w:val="Heading2"/>
        <w:bidi/>
        <w:spacing w:after="180" w:before="360"/>
        <w:jc w:val="right"/>
      </w:pPr>
      <w:r>
        <w:rPr>
          <w:rFonts w:ascii="B Nazanin" w:cs="B Nazanin" w:eastAsia="B Nazanin" w:hAnsi="B Nazanin"/>
          <w:b/>
          <w:bCs/>
          <w:color w:val="1e3a5f"/>
          <w:sz w:val="30"/>
          <w:szCs w:val="30"/>
          <w:rtl/>
        </w:rPr>
        <w:t xml:space="preserve">۲-۳-۲ مالی رفتاری و توضیح روان‌شناختی ناکارایی موقت بازار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کنار توضیح تکاملیِ لو، ادبیات مالی رفتاری توضیحی روان‌شناختی برای ناکارایی‌های موقت بازار ارائه می‌دهد. کانمن و تورسکی (Kahneman &amp; Tversky, 1979) با نظریه‌ی چشم‌انداز نشان دادند تصمیم‌گیرندگان انسانی، برخلاف فرض عقلانیت کامل در نظریه‌ی مطلوبیت مورد انتظار، در برابر زیان حساسیت بیشتری نسبت به سود هم‌اندازه نشان می‌دهند و این عدم‌تقارن می‌تواند رفتار قیمتی قابل‌پیش‌بینی، از جمله واکنش بیش‌ازحد یا کمترازحد به اخبار، ایجاد کند. در بازارهای نوظهور که سهم سرمایه‌گذار خرد بالاتر و سواد مالی نسبتاً پایین‌تر است، این سوگیری‌ها می‌توانند اثر محسوس‌تری داشته باشند؛ برای نمونه، کوشکون و همکاران (Coşkun et al., 2023) با تحلیل بورس استانبول به‌عنوان یک بازار نوظهور نشان دادند رفتار اطمینان‌بیش‌ازحد سرمایه‌گذاران به‌طور نامتقارن در رژیم‌های مختلف بازدهی ظاهر می‌شود. این یافته‌ها زمینه‌ی نظری اضافی‌ای فراهم می‌کنند برای اینکه چرا بورس تهران، که ویژگی‌های ساختاری مشابهی دارد، ممکن است الگوهای قیمتی قابل‌شناسایی‌تری نسبت به بازارهای کاملاً توسعه‌یافته داشته باشد.</w:t>
      </w:r>
    </w:p>
    <w:p>
      <w:pPr>
        <w:pStyle w:val="Heading2"/>
        <w:bidi/>
        <w:spacing w:after="180" w:before="360"/>
        <w:jc w:val="right"/>
      </w:pPr>
      <w:r>
        <w:rPr>
          <w:rFonts w:ascii="B Nazanin" w:cs="B Nazanin" w:eastAsia="B Nazanin" w:hAnsi="B Nazanin"/>
          <w:b/>
          <w:bCs/>
          <w:color w:val="1e3a5f"/>
          <w:sz w:val="30"/>
          <w:szCs w:val="30"/>
          <w:rtl/>
        </w:rPr>
        <w:t xml:space="preserve">۲-۳-۳ نظریه‌ی پرتفوی مدرن مارکویتز</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چارچوب میانگین-واریانس مارکویتز (Markowitz, 1952) پایه‌ی نظری بهینه‌سازی پرتفوی در این پژوهش (بخش‌های ۳-۱۳ و ۴-۱۱) است: به‌جای ارزیابی هر دارایی به‌طور مجزا، یک سرمایه‌گذار عقلایی ریسک‌گریز باید ترکیبی از دارایی‌ها را انتخاب کند که برای سطح معینی از ریسک، بیشترین بازده مورد انتظار را فراهم کند. این نظریه با گذشت بیش از هفت دهه همچنان چارچوب استاندارد بهینه‌سازی پرتفوی است و، همان‌طور که در بخش ۲-۱۱ نشان داده می‌شود، پژوهش‌های اخیر به‌طور فعال در حال تلفیق آن با پیش‌بینی بازدهی مبتنی بر یادگیری ماشین‌اند. فاما و فرنچ (Fama &amp; French, 1993) بعدها این چارچوب تک‌عاملی را با افزودن عوامل اندازه و ارزش گسترش دادند، هرچند این پژوهش، به دلیل محدودیت حجم نمونه (شش نماد)، از مدل ساده‌تر مارکویتز به‌جای مدل‌های چندعاملی استفاده کرده است.</w:t>
      </w:r>
    </w:p>
    <w:p>
      <w:pPr>
        <w:pStyle w:val="Heading2"/>
        <w:bidi/>
        <w:spacing w:after="180" w:before="360"/>
        <w:jc w:val="right"/>
      </w:pPr>
      <w:r>
        <w:rPr>
          <w:rFonts w:ascii="B Nazanin" w:cs="B Nazanin" w:eastAsia="B Nazanin" w:hAnsi="B Nazanin"/>
          <w:b/>
          <w:bCs/>
          <w:color w:val="1e3a5f"/>
          <w:sz w:val="30"/>
          <w:szCs w:val="30"/>
          <w:rtl/>
        </w:rPr>
        <w:t xml:space="preserve">۲-۳-۴ مدل قیمت‌گذاری بلک-شولز و مبنای اقتصادی گیت تصمیم</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مدل بلک-شولز (Black &amp; Scholes, 1973) اولین چارچوب تحلیلی کامل قیمت‌گذاری اختیار معامله را ارائه داد و همچنان مبنای محاسبه‌ی پرمیوم منصفانه در این پژوهش (بخش ۳-۱۲-۱) است. استدلال اقتصادی پشت استفاده از این مدل در این پژوهش ساده است: فروش یک اختیار خرید با پرمیومی پایین‌تر از ارزش منصفانه‌ی نظری آن، ولو با احتمال بالای سودآوری کوتاه‌مدت، از نظر تئوری تصمیمی زیان‌ده در بلندمدت است. به همین دلیل، موتور بک‌تست این پژوهش تنها زمانی اجازه‌ی فروش کال می‌دهد که پرمیوم فرضی بازار از پرمیوم منصفانه‌ی بلک-شولز بیشتر باشد؛ این «گیت اقتصادی»، در کنار یک «گیت روند» جداگانه، مانع می‌شود که سامانه صرفاً بر پایه‌ی خروجی خام مدل طبقه‌بندی تصمیم بگیرد. ولی (Whaley, 2002) اثربخشی تجربی این نوع رویکرد را با تحلیل عملکرد تاریخی شاخص BXM نشان داد و نگواب (Ngwaba, 2025) این تحلیل را به بستر یادگیری ماشین گسترش داد.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۲-۴ — پیشینه‌ی پژوهش: یادگیری ماشین کلاسیک برای پیش‌بینی قیمت سهام</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مدل‌های درختی گروهی به دلیل توان بالا در یادگیری روابط غیرخطی داده‌های جدولی، بدون نیاز به مهندسی فیچر عمیق، یکی از پرکاربردترین خانواده‌های مدل در پیش‌بینی مالی‌اند. جنگل تصادفی (Breiman, 2001)، که مجموعه‌ای از درخت‌های تصمیم مستقل را از طریق نمونه‌گیری بوت‌استرپ و زیرمجموعه‌ی تصادفی فیچرها می‌سازد، همچنان یک خط مبنای محکم و مقاوم به بیش‌برازش است. گرادیان‌بوستینگ درختی، به‌عنوان تکامل بعدی، از طریق سه پیاده‌سازی اصلی به بلوغ رسیده: XGBoost (Chen &amp; Guestrin, 2016) که با افزودن یک جمله‌ی منظم‌سازی صریح به تابع هدف، مقاومت بالاتری در برابر بیش‌برازش ارائه می‌دهد؛ LightGBM (Ke et al., 2017) که با تکنیک‌های نمونه‌گیری یک‌طرفه‌ی گرادیان و بسته‌بندی فیچرهای انحصاری سرعت آموزش را به‌طور چشمگیر افزایش می‌دهد؛ و CatBoost (Prokhorenkova et al., 2018) که با معرفی بوستینگ ترتیبی از یک نوع خاص نشت هدف در پردازش فیچرهای دسته‌ای جلوگیری می‌کند.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کاربردهای اخیر، لیو (Liu, 2024) با معرفی یک مدل XGBoost چندهدفه با وزن‌دهی بهینه، تعادل میان بازده و ریسک سبد سرمایه‌گذاری را برای داده‌ی بازار سهام چین بهبود داد و نشان داد رویکردهای چندهدفه می‌توانند فراتر از دقت صرف پیش‌بینی، مستقیماً بر کیفیت تصمیم سرمایه‌گذاری اثر بگذارند. در پژوهشی با رویکردی متفاوت، رای و سلطانی‌سهت (Rai &amp; Soltanisehat, 2025) یک چارچوب چندمدلی مبتنی بر سی‌وشش فیچر مشتق از اندیکاتورهای تکنیکال ساختند و با آزمودن نه الگوریتم طبقه‌بندی روی سهام اپل، تسلا و انویدیا، نشان دادند فیچرهای مبتنی بر مومنتوم تأثیرگذارترین پیش‌بینی‌کننده‌ها هستند، یافته‌ای که با نتایج تحلیل SHAP این پژوهش (بخش ۴-۷، غلبه‌ی sma50 و vpt) هم‌راستا است. این پژوهش نیز، با ترکیب چهار مدل درختی گرادیان‌بوستینگ/جنگل تصادفی در تورنمنت نه‌مدلی خود (بخش ۳-۷)، از همین خانواده به‌عنوان ستون فقرات عملی سامانه بهره می‌برد، دقیقاً به این دلیل که این مدل‌ها، طبق ادبیات رایج، برای مجموعه‌داده‌های جدولی با اندازه‌ی متوسط، نظیر آنچه در این پژوهش برای هر نماد در دسترس است، گزینه‌ی عملی برتر محسوب می‌شوند.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۲-۵ — پیشینه‌ی پژوهش: یادگیری عمیق برای سری‌های زمانی مالی</w:t>
      </w:r>
    </w:p>
    <w:p>
      <w:pPr>
        <w:pStyle w:val="Heading2"/>
        <w:bidi/>
        <w:spacing w:after="180" w:before="360"/>
        <w:jc w:val="right"/>
      </w:pPr>
      <w:r>
        <w:rPr>
          <w:rFonts w:ascii="B Nazanin" w:cs="B Nazanin" w:eastAsia="B Nazanin" w:hAnsi="B Nazanin"/>
          <w:b/>
          <w:bCs/>
          <w:color w:val="1e3a5f"/>
          <w:sz w:val="30"/>
          <w:szCs w:val="30"/>
          <w:rtl/>
        </w:rPr>
        <w:t xml:space="preserve">۲-۵-۱ شبکه‌های حافظه‌ی کوتاه‌مدت بلندمدت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شبکه‌های عصبی بازگشتی استاندارد در یادگیری وابستگی‌های بلندمدت با مشکل محوشدگی گرادیان روبه‌رو می‌شوند. هوخرایتر و اشمیدهوبر (Hochreiter &amp; Schmidhuber, 1997) با معرفی معماری LSTM، که از طریق دروازه‌های فراموشی، ورودی و خروجی جریان اطلاعات را در طول زمان کنترل می‌کند، این مشکل را حل کردند و LSTM از آن پس به معماری غالب برای مدل‌سازی سری‌های زمانی مالی تبدیل شده است؛ در بخش ۳-۸-۱ این پژوهش، همین معماری با افزودن یک لایه‌ی توجه افزایشی تکمیل شده است.</w:t>
      </w:r>
    </w:p>
    <w:p>
      <w:pPr>
        <w:pStyle w:val="Heading2"/>
        <w:bidi/>
        <w:spacing w:after="180" w:before="360"/>
        <w:jc w:val="right"/>
      </w:pPr>
      <w:r>
        <w:rPr>
          <w:rFonts w:ascii="B Nazanin" w:cs="B Nazanin" w:eastAsia="B Nazanin" w:hAnsi="B Nazanin"/>
          <w:b/>
          <w:bCs/>
          <w:color w:val="1e3a5f"/>
          <w:sz w:val="30"/>
          <w:szCs w:val="30"/>
          <w:rtl/>
        </w:rPr>
        <w:t xml:space="preserve">۲-۵-۲ معماری‌های ترکیبی کانولوشن-LSTM</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از آنجا که LSTM به‌تنهایی الگوهای محلی کوتاه‌مدت (مانند الگوهای چندروزه‌ی کندل‌استیک) را به‌طور صریح استخراج نمی‌کند، افزودن یک لایه‌ی کانولوشن یک‌بعدی پیش از LSTM، با هدف استخراج خودکار این الگوهای محلی پیش از عبور از حافظه‌ی بلندمدت، به یک الگوی رایج تبدیل شده است. دونگ و لیانگ (Dong &amp; Liang, 2025) این ایده را با معرفی معماری CNN-LSTM-GNN گسترش دادند: در این مدل لایه‌ی کانولوشن الگوهای محلی و لایه‌ی LSTM الگوی کلی توالی را استخراج می‌کنند، درحالی‌که یک لایه‌ی شبکه‌ی عصبی گرافی روابط میان چند سهم را نیز مدل می‌کند؛ نتایج آن‌ها روی شاخص CSI بازار چین نشان داد این ترکیب سه‌گانه از معماری‌های تک‌بخشی برتر است. این پژوهش نیز، در بخش ۳-۸-۲، از منطق مشابهی (کانولوشن علّی پیش از LSTM) برای ساخت مدل نهم تورنمنت بهره برده است. برخلاف یافته‌ی مثبت دونگ و لیانگ روی داده‌ی بازار چین، نتیجه‌ی این پژوهش روی شش نماد بورس تهران مبهم تا منفی بود (بخش ۴-۴)، تفاوتی که به‌احتمال زیاد از تفاوت بودجه‌ی محاسباتی و حجم داده ناشی می‌شود، نه از نادرستی ذاتی معماری.</w:t>
      </w:r>
    </w:p>
    <w:p>
      <w:pPr>
        <w:pStyle w:val="Heading2"/>
        <w:bidi/>
        <w:spacing w:after="180" w:before="360"/>
        <w:jc w:val="right"/>
      </w:pPr>
      <w:r>
        <w:rPr>
          <w:rFonts w:ascii="B Nazanin" w:cs="B Nazanin" w:eastAsia="B Nazanin" w:hAnsi="B Nazanin"/>
          <w:b/>
          <w:bCs/>
          <w:color w:val="1e3a5f"/>
          <w:sz w:val="30"/>
          <w:szCs w:val="30"/>
          <w:rtl/>
        </w:rPr>
        <w:t xml:space="preserve">۲-۵-۳ مکانیزم توجه و ترنسفورمرها</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معماری ترنسفورمر (Vaswani et al., 2017) با معرفی مکانیزم خودتوجهی چندسر، امکان مدل‌سازی وابستگی‌های بلندبرد یک توالی را بدون محدودیت پردازش ترتیبی RNN فراهم کرد و به‌سرعت به معماری غالب در پردازش زبان طبیعی و سپس سری‌های زمانی تبدیل شد. در حوزه‌ی مالی، چن و همکاران (Chen et al., 2025) با معرفی EMAT یک مکانیزم توجه چندجنبه‌ای طراحی کردند که هم‌زمان الگوهای تضعیف زمانی، پویایی روند و نوسان‌پذیری را لحاظ می‌کند و نشان دادند این معماری از انواع بازگشتی، ترکیبی و ترنسفورمر استاندارد برتر است. این پژوهش عمداً از معماری سبک‌تر LSTM+Attention (توجه افزایشی روی خروجی LSTM، نه یک ترنسفورمر کامل) استفاده کرده است؛ تصمیمی که با محدودیت محیط محاسباتی تنها-CPU این پژوهش (بخش ۴-۲-۲) سازگار است و در بخش ۵-۶-۲ به‌عنوان مسیر پژوهش آینده مجدداً مطرح می‌شود.</w:t>
      </w:r>
    </w:p>
    <w:p>
      <w:pPr>
        <w:pStyle w:val="Heading2"/>
        <w:bidi/>
        <w:spacing w:after="180" w:before="360"/>
        <w:jc w:val="right"/>
      </w:pPr>
      <w:r>
        <w:rPr>
          <w:rFonts w:ascii="B Nazanin" w:cs="B Nazanin" w:eastAsia="B Nazanin" w:hAnsi="B Nazanin"/>
          <w:b/>
          <w:bCs/>
          <w:color w:val="1e3a5f"/>
          <w:sz w:val="30"/>
          <w:szCs w:val="30"/>
          <w:rtl/>
        </w:rPr>
        <w:t xml:space="preserve">۲-۵-۴ یادگیری ترکیبی و روش‌های تجمعی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فراتر از تک‌تک معماری‌ها، ترکیب چند مدل از طریق Stacking یا Voting می‌تواند واریانس پیش‌بینی را کاهش دهد. کیت و اسماعیل (Kayit &amp; Ismail, 2025) با آزمودن مدل‌های تجمعی ترکیبی روی شش بازار جهانی عمده نشان دادند رویکرد Stacking به‌طور سازگار خطای پایین‌تری نسبت به مدل‌های منفرد و حتی Voting دارد، یافته‌ای که مستقیماً معماری یادگیری ترکیبی دوسطحی این پژوهش (بخش ۳-۱۰) را توجیه می‌کند، هرچند این پژوهش، برخلاف اتکای صرف به Stacking، یک مکانیزم ایمنی میانگین رتبه‌ای را نیز به‌عنوان پشتیبان محافظه‌کارانه حفظ کرده است (بخش ۳-۱۱).</w:t>
      </w:r>
    </w:p>
    <w:p>
      <w:pPr>
        <w:pStyle w:val="Heading2"/>
        <w:bidi/>
        <w:spacing w:after="180" w:before="360"/>
        <w:jc w:val="right"/>
      </w:pPr>
      <w:r>
        <w:rPr>
          <w:rFonts w:ascii="B Nazanin" w:cs="B Nazanin" w:eastAsia="B Nazanin" w:hAnsi="B Nazanin"/>
          <w:b/>
          <w:bCs/>
          <w:color w:val="1e3a5f"/>
          <w:sz w:val="30"/>
          <w:szCs w:val="30"/>
          <w:rtl/>
        </w:rPr>
        <w:t xml:space="preserve">۲-۵-۵ تقویت داده و چالش کمبود داده در بازارهای نوظهور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یکی از محدودیت‌های عملی آموزش مدل‌های عمیق روی سهام منفرد بازارهای نوظهور، حجم نسبتاً محدود سابقه‌ی معاملاتی است. شبکه‌های مولد تخاصمی (GAN) راهکاری برای این مشکل پیشنهاد می‌کنند: با آموزش هم‌زمان یک شبکه‌ی مولد و یک شبکه‌ی تمایزدهنده، می‌توان داده‌ی مصنوعی تولید کرد که خواص آماری داده‌ی واقعی را حفظ می‌کند. پژوهش‌های اخیر (از جمله چارچوب‌هایی مانند MarketGAN برای تقویت داده‌ی چندمتغیره‌ی مالی) نشان داده‌اند این رویکرد می‌تواند تعمیم‌پذیری مدل‌های آموزش‌دیده روی داده‌ی محدود را بهبود دهد. این پژوهش، هرچند یک مسیر اختیاری برای افزایش داده مبتنی بر GAN را در معماری خود پیش‌بینی کرده است (بخش ۳-۳-۲)، از آنجا که هر شش نماد منتخب بیش از پانصد ردیف داده‌ی معتبر پس از پاکسازی داشتند، عملاً نیازی به فعال‌سازی این مسیر پیدا نکرد؛ این گزینه برای نمادهای کم‌سابقه‌تر در پژوهش‌های آینده نگه داشته شده است (بخش ۵-۶-۱).</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۲-۶ — پیشینه‌ی پژوهش: استراتژی‌های اختیار معامله مبتنی بر یادگیری ماشین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پیش از ظهور یادگیری ماشین، ادبیات تجربی عملکرد Covered Call عمدتاً توصیفی بود. میسرا و دالمیا (Misra &amp; Dalmia, 2007)، با تحلیل پرتفوی‌های Covered Call و Protective Put ساخته‌شده از آپشن‌های شاخص Nifty بورس ملی هند، نشان دادند هر دو استراتژی، هم از نظر بازده و هم از نظر ریسک، از یک پرتفوی پوشش‌نداده‌شده عملکرد بهتری دارند و متغیرهایی مانند نقدشوندگی و علاقه‌ی باز بر عملکرد این پرتفوی‌ها اثر می‌گذارند. این یافته، که تقریباً دو دهه پیش از ظهور یادگیری عمیق مدرن منتشر شده، شواهد اولیه‌ای فراهم کرد که ارزش این خانواده از استراتژی‌ها به داده و بازار خاصی محدود نیست.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با ورود یادگیری ماشین، پژوهش‌ها به‌جای تحلیل توصیفی، به پیش‌بینی مستقیم عملکرد این استراتژی‌ها روی آوردند. نگواب (Ngwaba, 2025) با آزمودن مدل‌های سری‌زمانی، یادگیری ماشین و یادگیری عمیق برای پیش‌بینی عملکرد ETFهای Covered Call شناخته‌شده (QYLD، XYLD، JEPI، JEPQ، RYLD) نشان داد مدل‌های یادگیری عمیق در شناسایی الگوهای غیرخطی و وابستگی‌های زمانی این ابزارها برتری محسوسی نسبت به روش‌های سری‌زمانی سنتی دارند. این یافته انگیزه‌ی اصلی به‌کارگیری شبکه‌های عصبی دنباله‌ای در این پژوهش را تقویت می‌کند، با یک تفاوت مهم روش‌شناختی: مطالعه‌ی نگواب و اغلب پژوهش‌های مشابه، عملکرد </w:t>
      </w:r>
      <w:r>
        <w:rPr>
          <w:rFonts w:ascii="B Nazanin" w:cs="B Nazanin" w:eastAsia="B Nazanin" w:hAnsi="B Nazanin"/>
          <w:b w:val="false"/>
          <w:bCs w:val="false"/>
          <w:i/>
          <w:iCs/>
          <w:color w:val="1a1a1a"/>
          <w:sz w:val="26"/>
          <w:szCs w:val="26"/>
          <w:rtl/>
        </w:rPr>
        <w:t xml:space="preserve">محصولات مالی موجود</w:t>
      </w:r>
      <w:r>
        <w:rPr>
          <w:rFonts w:ascii="B Nazanin" w:cs="B Nazanin" w:eastAsia="B Nazanin" w:hAnsi="B Nazanin"/>
          <w:b w:val="false"/>
          <w:bCs w:val="false"/>
          <w:i w:val="false"/>
          <w:iCs w:val="false"/>
          <w:color w:val="1a1a1a"/>
          <w:sz w:val="26"/>
          <w:szCs w:val="26"/>
          <w:rtl/>
        </w:rPr>
        <w:t xml:space="preserve"> (ETFهایی که استراتژی خود را از پیش اجرا می‌کنند) را پیش‌بینی می‌کنند، درحالی‌که این پایان‌نامه یک قدم عقب‌تر می‌رود و خود تصمیمِ چه‌زمانی-فروختن-کال را از پیش‌بینی جهت قیمت سهم منفرد می‌سازد. این تفاوت، که در ادبیات مرورشده کمتر پوشش داده شده، دقیقاً همان شکافی است که در بخش ۲-۱۳ به آن پرداخته می‌شود.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۲-۷ — پیشینه‌ی پژوهش در بورس اوراق بهادار تهران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پیشینه‌ی پژوهشی خاص بورس تهران، هرچند نسبت به بازارهای توسعه‌یافته محدودتر است، در سال‌های اخیر رشد محسوسی داشته است. مصطفی‌عینیا و همکاران (Mostafaienia et al., 2025) با ترکیب شبکه‌های LSTM و کانولوشن یک‌بعدی برای پیش‌بینی قیمت بسته‌شدن روز بعد نمادهای بورس تهران، بر اهمیت تحلیل سطح-نماد (به‌جای تحلیل شاخص کل) و آزمون استحکام در برابر داده‌ی نویزی و ناقص تأکید کردند، رویکردی هم‌راستا با تمرکز سطح-نماد این پژوهش. تاجیک غلامی و شهابی (Tajik Gholami &amp; Shahabi, 2025) با مقایسه‌ی مستقیم LSTM، RNN و CNN با مدل‌های سنتی سری‌زمانی برای پیش‌بینی شاخص کل قیمت و بازدهی نقدی بورس تهران (TEPIX)، برتری مدل‌های عمیق را در معیارهای RMSE، MAE و MSE نشان دادند.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رادفر (Radfar, 2025) در پژوهشی گسترده‌تر و انتقادی‌تر، عملکرد معماری‌های CNN، LSTM، ترنسفورمر و ترکیبات آن‌ها را روی داده‌ی واقعی دوازده سهم بررسی کرد و نتیجه گرفت بسیاری از ادعاهای موفقیت مطالعات پیشین، هنگامی که بافت زمانی پیش‌بینی نادیده گرفته می‌شود، به مثبت کاذب تبدیل می‌شوند و برای بازار واقعی غیرعملی‌اند، یافته‌ای که مستقیماً با انگیزه‌ی طراحی چارچوب HONEST/FRAUD این پژوهش (بخش ۳-۱۵) هم‌راستا است. با این حال، هیچ‌کدام از این سه پژوهش پیش‌بینی قیمت را به یک استراتژی معاملاتی مبتنی بر آپشن، نظیر Covered Call، متصل نکرده‌اند، شکافی که این پایان‌نامه مستقیماً پر می‌کند.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۲-۸ — تفسیرپذیری مدل (SHAP/XAI) در حوزه‌ی مالی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مدل‌های یادگیری ماشین پیچیده، به‌ویژه گروهی و عمیق، اغلب به‌عنوان جعبه‌ی سیاه شناخته می‌شوند، ویژگی‌ای که در تصمیمات مالی، جایی که پاسخ‌گویی تصمیم اهمیت دارد، مشکل‌ساز است. لاندبرگ و لی (Lundberg &amp; Lee, 2017) با معرفی SHAP، که بر پایه‌ی نظریه‌ی بازی‌های همکارانه‌ی شپلی بنا شده، چارچوبی یکپارچه و مبتنی بر اصول بدیهی برای تجزیه‌ی خروجی هر مدل به سهم افزودنی هر فیچر ارائه دادند؛ این روش، به دلیل سازگاری با هر نوع مدل، به استاندارد عملی تفسیر مدل‌های درختی تبدیل شده است، همان‌طور که در بخش ۴-۷ این پژوهش نیز برای تحلیل اهمیت فیچرها به کار رفته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کاربردی به‌روزتر، گوسوامی و الدین (Goswami &amp; Uddin, 2026) با بازبینی ۱۶۶ پیشران شناخته‌شده‌ی بازدهی سهام از طریق SHAP، نشان دادند فیچرهای مبتنی بر مومنتوم و حجم معاملات به‌طور سازگار قدرت پیش‌بینی‌کنندگی بالاتری نسبت به بسیاری از پیشران‌های بنیادی سنتی دارند، یافته‌ای که با غلبه‌ی فیچرهای روندی/حجمی (sma50، vpt) در نتایج SHAP این پژوهش (بخش ۴-۷) هم‌راستا است. نکته‌ی ظریف‌تری که مقاله‌ی آن‌ها بر آن تأکید می‌کند این است که کیفیت و صحت تفسیر SHAP به انتخاب دقیق نمایش فیچر و مهندسی داده حساس است، هشداری که مستقیماً ضرورت رعایت اصل علیت در محاسبه‌ی فیچرها (بخش ۳-۴) را توجیه می‌کند: یک فیچر نشت‌دار می‌تواند تفسیر SHAP را نیز، درست مانند خود پیش‌بینی، گمراه‌کننده سازد.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۲-۹ — اعتبارسنجی، نشت اطلاعات و بیش‌برازش بک‌تست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شاید مهم‌ترین محور نظری این پایان‌نامه، ادبیات نوظهور نقد روش‌شناختی یادگیری ماشین مالی باشد. لوپز د پرادو (López de Prado, 2018)، در اثر مرجع خود، به‌طور نظام‌مند نشان داد روش‌های استاندارد اعتبارسنجی متقاطع، که فرض استقلال نمونه‌ها را دارند، برای داده‌ی سری‌زمانی مالی نامناسب‌اند، چرا که برچسب‌های همپوشان نشت اطلاعات ایجاد می‌کنند؛ راه‌حل پیشنهادی او، تفکیک زمانی حذف آموزنده، مستقیماً مبنای روش تفکیک داده‌ی این پژوهش (بخش ۳-۶) است. پیش از آن، بیلی و همکاران (Bailey et al., 2014) مفهوم احتمال بیش‌برازش بک‌تست را معرفی کرده بودند: نشان دادند هرچه تعداد استراتژی‌های آزموده‌شده روی یک مجموعه‌داده‌ی ثابت بیشتر باشد، احتمال آنکه بهترین آن‌ها صرفاً محصول شانس باشد به‌طور نمایی افزایش می‌یابد، هشداری که مستقیماً توجیه‌کننده‌ی نیاز این پژوهش به اعتبارسنجی غلتان زمانی مستقل، فراتر از یک تفکیک ثابت Train/Val/Test است (بخش ۳-۱۱).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پژوهشی مستقیم‌تر و بسیار به‌روز، آریان، نوروزی و سکو (Arian et al., 2025) با ساخت یک محیط کنترل‌شده‌ی مصنوعی، روش‌های مختلف آزمون برون‌نمونه‌ای، از جمله Walk-Forward و Combinatorial Purged Cross-Validation، را مقایسه کردند و نشان دادند CPCV، هرچند از نظر محاسباتی سنگین‌تر، در کاهش ریسک بیش‌برازش برتری نظری دارد، اما نتیجه‌گیری عملی آن‌ها این بود که Walk-Forward، به دلیل شبیه‌سازی واقع‌بینانه‌تر شرایط معاملاتی زنده، همچنان استاندارد صنعتی باقی می‌ماند، انتخابی که این پژوهش نیز به دلیل بودجه‌ی محاسباتی محدود (بخش ۴-۲-۲) دنبال کرده است. تازه‌ترین و شاید مرتبط‌ترین پژوهش به چارچوب HONEST/FRAUD این پایان‌نامه، اثر ژانگ و همکاران (Zhang et al., 2026) است: آن‌ها با معرفی «When Alpha Disappears»، یک معیار سنجش زوجی برای تشخیص نشت زمان‌تصمیم، نشان دادند </w:t>
      </w:r>
      <w:r>
        <w:rPr>
          <w:rFonts w:ascii="B Nazanin" w:cs="B Nazanin" w:eastAsia="B Nazanin" w:hAnsi="B Nazanin"/>
          <w:b/>
          <w:bCs/>
          <w:i w:val="false"/>
          <w:iCs w:val="false"/>
          <w:color w:val="1a1a1a"/>
          <w:sz w:val="26"/>
          <w:szCs w:val="26"/>
          <w:rtl/>
        </w:rPr>
        <w:t xml:space="preserve">دقیقاً همان الگوی فیچر متمرکز زمانی</w:t>
      </w:r>
      <w:r>
        <w:rPr>
          <w:rFonts w:ascii="B Nazanin" w:cs="B Nazanin" w:eastAsia="B Nazanin" w:hAnsi="B Nazanin"/>
          <w:b w:val="false"/>
          <w:bCs w:val="false"/>
          <w:i w:val="false"/>
          <w:iCs w:val="false"/>
          <w:color w:val="1a1a1a"/>
          <w:sz w:val="26"/>
          <w:szCs w:val="26"/>
          <w:rtl/>
        </w:rPr>
        <w:t xml:space="preserve"> که این پایان‌نامه به‌عنوان مکانیزم نشت عمدی مسیر FRAUD به کار برده (بخش ۳-۱۵، میانگین متحرک مرکزی با rolling(center=True))، در میان رایج‌ترین و قوی‌ترین منابع تورم مصنوعی معیارهای عملکرد در ادبیات یادگیری ماشین مالی است، همگرایی‌ای که اعتبار طراحی این پژوهش را از یک منبع کاملاً مستقل و هم‌زمان تأیید می‌کند.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۲-۱۰ — بهینه‌سازی بیزی ابرپارامتر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انتخاب دستی ابرپارامتر برای نه مدل و شش نماد در این پژوهش عملی نیست؛ بهینه‌سازی بیزی، با ساخت یک مدل احتمالاتی جانشین از رابطه‌ی میان ابرپارامترها و عملکرد، جست‌وجو را نسبت به روش‌های شبکه‌ای یا تصادفی به‌طور چشمگیر کارآمدتر می‌کند. آکیبا و همکاران (Akiba et al., 2019) با معرفی Optuna، که از الگوریتم برآوردگر پارزن ساختاریافته‌ی درختی استفاده می‌کند و امکان هرس‌کردن زودهنگام آزمایش‌های ناامیدکننده را فراهم می‌آورد، این چارچوب را به یکی از پرکاربردترین ابزارهای بهینه‌سازی ابرپارامتر در صنعت و پژوهش تبدیل کردند؛ همین چارچوب مستقیماً برای تنظیم هر نه مدل این پژوهش به کار رفته است (بخش ۳-۹-۱).</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۲-۱۱ — بهینه‌سازی پرتفوی با یادگیری ماشین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پژوهش‌های اخیر به‌طور فعال درحال تلفیق پیش‌بینی یادگیری ماشین با چارچوب کلاسیک مارکویتز هستند. در پژوهشی با ترکیب نویسندگانی برجسته در این حوزه، لوپز د پرادو، سیمونیان، فابوزی و فابوزی (López de Prado et al., 2025) نشان دادند یادگیری ماشین می‌تواند مراحل مختلف فرآیند پرتفوی‌سازی، از تولید آلفا تا مدیریت ریسک و بهینه‌سازی معیارهای مبتنی بر CVaR، را تقویت کند، بدون آنکه اصول بنیادین میانگین-واریانس را کنار بگذارد. اسلوسارچیک و اسلپاچوک (Ślusarczyk &amp; Ślepaczuk, 2025) این سؤال را به‌طور تجربی آزمودند که آیا استفاده از بازدهی پیش‌بینی‌شده به‌جای بازدهی تاریخی در پرتفوی میانگین-واریانس نتیجه را بهبود می‌بخشد؛ با آزمودن مدل‌های ARIMA-GARCH و XGBoost روی سهام شاخص DJIA، نشان دادند پاسخ به این پرسش به مدل پیش‌بینی انتخابی وابسته است، نه یک قانون مطلق.</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چو و کیم (Cho &amp; Kim, 2025) با معرفی یک چارچوب بلک-لیترمن نوین، عدم‌قطعیت بازدهی پیش‌بینی‌شده را بر اساس یک سنجه‌ی بلادرنگ کارایی بازار تعدیل کردند، افزایش عدم‌قطعیت هنگام کارایی بالا و کاهش آن هنگام کارایی پایین، و نشان دادند این رویکرد در هر دو بازار صعودی و نزولی عملکرد بهتری نسبت به رویکردهای دومرحله‌ای سنتی دارد. این خط پژوهشی مستقیماً انگیزه‌ی روش بهینه‌سازی پرتفوی این پایان‌نامه (بخش ۳-۱۳) را تقویت می‌کند، هرچند این پژوهش، به دلیل محدودیت حجم نمونه، از یک مدل سه‌سناریویی ساده‌تر (Max-Sharpe، Min-Variance، Equal-Weight) به‌جای تعدیل پویای عدم‌قطعیت استفاده کرده و این گسترش را به‌عنوان مسیر پژوهش آینده مطرح کرده است (بخش ۵-۶-۲).</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۲-۱۲ — جمع‌بندی جدولی پیشینه‌ی پژوهش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زیر هجده مطالعه‌ی کلیدی مرورشده در این فصل را، به‌همراه روش/موضوع و یافته‌ی اصلی هرکدام، به‌طور خلاصه و مقایسه‌ای گرد هم می‌آورد.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600"/>
        <w:gridCol w:w="3300"/>
      </w:tblGrid>
      <w:tr>
        <w:trPr>
          <w:cantSplit/>
          <w:tblHeader/>
        </w:trPr>
        <w:tc>
          <w:tcPr>
            <w:tcW w:type="dxa" w:w="7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ردیف</w:t>
            </w:r>
          </w:p>
        </w:tc>
        <w:tc>
          <w:tcPr>
            <w:tcW w:type="dxa" w:w="24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6"/>
                <w:szCs w:val="16"/>
                <w:rtl/>
              </w:rPr>
              <w:t xml:space="preserve">پژوهشگر(ان) و سال</w:t>
            </w:r>
          </w:p>
        </w:tc>
        <w:tc>
          <w:tcPr>
            <w:tcW w:type="dxa" w:w="26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6"/>
                <w:szCs w:val="16"/>
                <w:rtl/>
              </w:rPr>
              <w:t xml:space="preserve">روش/موضوع</w:t>
            </w:r>
          </w:p>
        </w:tc>
        <w:tc>
          <w:tcPr>
            <w:tcW w:type="dxa" w:w="330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6"/>
                <w:szCs w:val="16"/>
                <w:rtl/>
              </w:rPr>
              <w:t xml:space="preserve">یافته‌ی کلیدی</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Markowitz (1952)</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بهینه‌سازی میانگین-واریانس</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پایه‌گذاری چارچوب ریاضی انتخاب پرتفوی بهینه</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Black &amp; Scholes (1973)</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قیمت‌گذاری اختیار معامله</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فرمول تحلیلی قیمت‌گذاری منصفانه‌ی آپشن</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۳</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Whaley (2002)</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عملکرد شاخص BXM</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نوسان‌پذیری کمتر Covered Call با بازدهی تعدیل‌شده‌ی قابل‌مقایسه</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Misra &amp; Dalmia (2007)</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پرتفوی Covered Call/Protective Put در NSE</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برتری هر دو راهبرد نسبت به پرتفوی پوشش‌نداده‌شده</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Hochreiter &amp; Schmidhuber (1997)</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معماری LSTM</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حل مسئله‌ی محوشدگی گرادیان در توالی‌های بلند</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۶</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Chen &amp; Guestrin (2016)؛ Ke et al. (2017)</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XGBoost؛ LightGBM</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گرادیان‌بوستینگ مقیاس‌پذیر و کارآمد برای داده‌ی جدولی</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۷</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Lundberg &amp; Lee (2017)</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SHAP</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تفسیر یکپارچه و اصول‌بنیانِ خروجی هر مدل</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۸</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Bailey et al. (2014)</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احتمال بیش‌برازش بک‌تست</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خطر افزایش نمایی بیش‌برازش با افزایش تعداد استراتژی آزموده</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López de Prado (2018)</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اعتبارسنجی مالی</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تفکیک زمانی حذف آموزنده برای جلوگیری از نشت</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۱۰</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Ngwaba (2025)</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پیش‌بینی ETFهای Covered Call</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برتری یادگیری عمیق نسبت به روش‌های سری‌زمانی سنتی</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۱۱</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Zhang et al. (2026)</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نشت زمان‌تصمیم در بک‌تست</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فیچرهای متمرکز زمانی، منبع اصلی تورم مصنوعی معیارها</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۱۲</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Cho &amp; Kim (2025)</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بهینه‌سازی پرتفوی مبتنی بر یادگیری عمیق</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تعدیل عدم‌قطعیت بر پایه‌ی سنجه‌ی بلادرنگ کارایی بازار</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۱۳</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Dong &amp; Liang (2025)</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معماری CNN-LSTM-GNN</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ترکیب الگوی محلی، کلی و رابطه‌ای، برتر از معماری‌های تک‌بخشی</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۱۴</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Rai &amp; Soltanisehat (2025)</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چارچوب چندمدلیِ ۹ الگوریتم طبقه‌بندی</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برتری پایدار فیچرهای مومنتوم در پیش‌بینی روزانه</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۱۵</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Mostafaienia et al. (2025)؛ Tajik Gholami &amp; Shahabi (2025)</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پیش‌بینی عمیق در بورس تهران</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برتری LSTM/CNN نسبت به ARIMA در سطح نماد و شاخص کل</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۱۶</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Radfar (2025)</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نقد روش‌شناختیِ پیش‌بینی با DNN</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بسیاری از یافته‌های موفق پیشین، مثبت کاذب ناشی از بافت زمانی‌اند</w:t>
            </w:r>
          </w:p>
        </w:tc>
      </w:tr>
      <w:tr>
        <w:trPr>
          <w:cantSplit/>
          <w:tblHeader w:val="false"/>
        </w:trPr>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۱۷</w:t>
            </w:r>
          </w:p>
        </w:tc>
        <w:tc>
          <w:tcPr>
            <w:tcW w:type="dxa" w:w="24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Goswami &amp; Uddin (2026)</w:t>
            </w:r>
          </w:p>
        </w:tc>
        <w:tc>
          <w:tcPr>
            <w:tcW w:type="dxa" w:w="26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XAI در پیش‌بینی بازدهی سهام</w:t>
            </w:r>
          </w:p>
        </w:tc>
        <w:tc>
          <w:tcPr>
            <w:tcW w:type="dxa" w:w="330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برتری پایدار فیچرهای مومنتوم/حجمی در رتبه‌بندی SHAP</w:t>
            </w:r>
          </w:p>
        </w:tc>
      </w:tr>
      <w:tr>
        <w:trPr>
          <w:cantSplit/>
          <w:tblHeader w:val="false"/>
        </w:trPr>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۱۸</w:t>
            </w:r>
          </w:p>
        </w:tc>
        <w:tc>
          <w:tcPr>
            <w:tcW w:type="dxa" w:w="24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Coşkun et al. (2023)</w:t>
            </w:r>
          </w:p>
        </w:tc>
        <w:tc>
          <w:tcPr>
            <w:tcW w:type="dxa" w:w="26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اطمینان‌بیش‌ازحد در بورس استانبول</w:t>
            </w:r>
          </w:p>
        </w:tc>
        <w:tc>
          <w:tcPr>
            <w:tcW w:type="dxa" w:w="330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6"/>
                <w:szCs w:val="16"/>
                <w:rtl/>
              </w:rPr>
              <w:t xml:space="preserve">بروز نامتقارن سوگیری رفتاری در رژیم‌های مختلف بازدهی</w:t>
            </w:r>
          </w:p>
        </w:tc>
      </w:tr>
    </w:tbl>
    <w:p>
      <w:pPr>
        <w:bidi/>
        <w:spacing w:after="320" w:before="100"/>
        <w:jc w:val="center"/>
      </w:pPr>
      <w:r>
        <w:rPr>
          <w:rFonts w:ascii="B Nazanin" w:cs="B Nazanin" w:eastAsia="B Nazanin" w:hAnsi="B Nazanin"/>
          <w:i/>
          <w:iCs/>
          <w:color w:val="555555"/>
          <w:sz w:val="22"/>
          <w:szCs w:val="22"/>
          <w:rtl/>
        </w:rPr>
        <w:t xml:space="preserve">جدول ۲-۱. جمع‌بندی هجده مطالعۀ کلیدیِ مرورشده در این فصل</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۲-۱۳ — جمع‌بندی و شکاف پژوهشی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مرور ادبیات فوق سه شکاف به‌هم‌مرتبط را آشکار می‌کند که این پایان‌نامه در پی پرکردن آن‌هاست. نخست، پژوهش‌های خاص بورس تهران (بخش ۲-۷) عمدتاً به پیش‌بینی عددی قیمت یا شاخص محدودند و به یک استراتژی معاملاتی عملی، به‌ویژه مبتنی بر آپشن، متصل نشده‌اند؛ در مقابل، پژوهش‌های Covered Call مبتنی بر یادگیری ماشین (بخش ۲-۶) به بازارهای توسعه‌یافته و ETFهای شناخته‌شده محدودند. این پایان‌نامه، با اتصال مستقیم خروجی طبقه‌بندی به یک موتور بک‌تست Covered Call مبتنی بر بلک-شولز، این دو خط پژوهشی مجزا را برای اولین‌بار، تا جایی که در این مرور یافت شد، برای بورس تهران به هم متصل می‌کند.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دوم، هرچند ادبیات نظری نشت اطلاعات و بیش‌برازش بک‌تست (بخش ۲-۹) به‌سرعت درحال رشد است، اکثر این پژوهش‌ها، از جمله جدیدترین آن‌ها (Zhang et al., 2026)، یا صرفاً روش‌شناسی/معیار پیشنهاد می‌دهند یا از داده‌های شبیه‌سازی‌شده و بازارهای توسعه‌یافته استفاده می‌کنند؛ کمتر پژوهشی یک گروه کنترل کامل عملیاتی، یعنی یک خط لوله‌ی موازیِ عمداً نشت‌دار با همان مدل‌ها و همان داده، روی یک بازار نوظهور خاص می‌سازد تا هزینه‌ی نشت را به‌طور مستقیم و قابل‌بازتولید نشان دهد. سوم، در زمینه‌ی معماری مدل، هرچند اثربخشی CNN-LSTM در بازارهای بزرگ (Dong &amp; Liang, 2025) و اثربخشی فیچرهای کلان اقتصادی در چارچوب‌های پیش‌بینی بازدهی (Goswami &amp; Uddin, 2026) هرکدام به‌طور جداگانه مستند شده‌اند، مقایسه‌ی مستقیم این دو نوع افزوده، یعنی مدل پیچیده‌تر در برابر داده‌ی جدید، روی یک مجموعه‌ی ثابت از نمادهای یک بازار نوظهور که پاسخ صریحی به این پرسش بدهد که کدام سرمایه‌گذاری بازدهی پژوهشی بهتری دارد، در ادبیات مرورشده یافت نشد.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فصل سوم این پایان‌نامه رویکرد پیشنهادی برای پاسخ به هر سه شکاف را ارائه می‌دهد.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۲-۱۴ — منابع</w:t>
      </w:r>
    </w:p>
    <w:p>
      <w:pPr>
        <w:bidi/>
        <w:spacing w:after="160" w:line="300" w:lineRule="auto"/>
        <w:ind w:left="340" w:hanging="340"/>
        <w:jc w:val="both"/>
      </w:pPr>
      <w:r>
        <w:rPr>
          <w:rFonts w:ascii="Calibri" w:cs="Calibri" w:eastAsia="Calibri" w:hAnsi="Calibri"/>
          <w:color w:val="1a1a1a"/>
          <w:sz w:val="21"/>
          <w:szCs w:val="21"/>
          <w:rtl w:val="false"/>
        </w:rPr>
        <w:t xml:space="preserve">Akiba, T., Sano, S., Yanase, T., Ohta, T., &amp; Koyama, M. (2019). Optuna: A next-generation hyperparameter optimization framework. Proceedings of the 25th ACM SIGKDD International Conference on Knowledge Discovery &amp; Data Mining, 2623–2631.</w:t>
      </w:r>
    </w:p>
    <w:p>
      <w:pPr>
        <w:bidi/>
        <w:spacing w:after="160" w:line="300" w:lineRule="auto"/>
        <w:ind w:left="340" w:hanging="340"/>
        <w:jc w:val="both"/>
      </w:pPr>
      <w:r>
        <w:rPr>
          <w:rFonts w:ascii="Calibri" w:cs="Calibri" w:eastAsia="Calibri" w:hAnsi="Calibri"/>
          <w:color w:val="1a1a1a"/>
          <w:sz w:val="21"/>
          <w:szCs w:val="21"/>
          <w:rtl w:val="false"/>
        </w:rPr>
        <w:t xml:space="preserve">Appel, G. (2005). Technical analysis: Power tools for active investors. Financial Times Prentice Hall.</w:t>
      </w:r>
    </w:p>
    <w:p>
      <w:pPr>
        <w:bidi/>
        <w:spacing w:after="160" w:line="300" w:lineRule="auto"/>
        <w:ind w:left="340" w:hanging="340"/>
        <w:jc w:val="both"/>
      </w:pPr>
      <w:r>
        <w:rPr>
          <w:rFonts w:ascii="Calibri" w:cs="Calibri" w:eastAsia="Calibri" w:hAnsi="Calibri"/>
          <w:color w:val="1a1a1a"/>
          <w:sz w:val="21"/>
          <w:szCs w:val="21"/>
          <w:rtl w:val="false"/>
        </w:rPr>
        <w:t xml:space="preserve">Arian, H. R., Norouzi M., D., &amp; Seco, L. A. (2025). Backtest overfitting in the machine learning era: A comparison of out-of-sample testing methods in a synthetic controlled environment. Knowledge-Based Systems, 305, 112477.</w:t>
      </w:r>
    </w:p>
    <w:p>
      <w:pPr>
        <w:bidi/>
        <w:spacing w:after="160" w:line="300" w:lineRule="auto"/>
        <w:ind w:left="340" w:hanging="340"/>
        <w:jc w:val="both"/>
      </w:pPr>
      <w:r>
        <w:rPr>
          <w:rFonts w:ascii="Calibri" w:cs="Calibri" w:eastAsia="Calibri" w:hAnsi="Calibri"/>
          <w:color w:val="1a1a1a"/>
          <w:sz w:val="21"/>
          <w:szCs w:val="21"/>
          <w:rtl w:val="false"/>
        </w:rPr>
        <w:t xml:space="preserve">Bailey, D. H., Borwein, J., López de Prado, M., &amp; Zhu, Q. J. (2014). The probability of backtest overfitting. Journal of Computational Finance, 20(4), 39–69.</w:t>
      </w:r>
    </w:p>
    <w:p>
      <w:pPr>
        <w:bidi/>
        <w:spacing w:after="160" w:line="300" w:lineRule="auto"/>
        <w:ind w:left="340" w:hanging="340"/>
        <w:jc w:val="both"/>
      </w:pPr>
      <w:r>
        <w:rPr>
          <w:rFonts w:ascii="Calibri" w:cs="Calibri" w:eastAsia="Calibri" w:hAnsi="Calibri"/>
          <w:color w:val="1a1a1a"/>
          <w:sz w:val="21"/>
          <w:szCs w:val="21"/>
          <w:rtl w:val="false"/>
        </w:rPr>
        <w:t xml:space="preserve">Black, F., &amp; Scholes, M. (1973). The pricing of options and corporate liabilities. Journal of Political Economy, 81(3), 637–654.</w:t>
      </w:r>
    </w:p>
    <w:p>
      <w:pPr>
        <w:bidi/>
        <w:spacing w:after="160" w:line="300" w:lineRule="auto"/>
        <w:ind w:left="340" w:hanging="340"/>
        <w:jc w:val="both"/>
      </w:pPr>
      <w:r>
        <w:rPr>
          <w:rFonts w:ascii="Calibri" w:cs="Calibri" w:eastAsia="Calibri" w:hAnsi="Calibri"/>
          <w:color w:val="1a1a1a"/>
          <w:sz w:val="21"/>
          <w:szCs w:val="21"/>
          <w:rtl w:val="false"/>
        </w:rPr>
        <w:t xml:space="preserve">Bollinger, J. (2001). Bollinger on Bollinger bands. McGraw-Hill.</w:t>
      </w:r>
    </w:p>
    <w:p>
      <w:pPr>
        <w:bidi/>
        <w:spacing w:after="160" w:line="300" w:lineRule="auto"/>
        <w:ind w:left="340" w:hanging="340"/>
        <w:jc w:val="both"/>
      </w:pPr>
      <w:r>
        <w:rPr>
          <w:rFonts w:ascii="Calibri" w:cs="Calibri" w:eastAsia="Calibri" w:hAnsi="Calibri"/>
          <w:color w:val="1a1a1a"/>
          <w:sz w:val="21"/>
          <w:szCs w:val="21"/>
          <w:rtl w:val="false"/>
        </w:rPr>
        <w:t xml:space="preserve">Breiman, L. (2001). Random forests. Machine Learning, 45(1), 5–32.</w:t>
      </w:r>
    </w:p>
    <w:p>
      <w:pPr>
        <w:bidi/>
        <w:spacing w:after="160" w:line="300" w:lineRule="auto"/>
        <w:ind w:left="340" w:hanging="340"/>
        <w:jc w:val="both"/>
      </w:pPr>
      <w:r>
        <w:rPr>
          <w:rFonts w:ascii="Calibri" w:cs="Calibri" w:eastAsia="Calibri" w:hAnsi="Calibri"/>
          <w:color w:val="1a1a1a"/>
          <w:sz w:val="21"/>
          <w:szCs w:val="21"/>
          <w:rtl w:val="false"/>
        </w:rPr>
        <w:t xml:space="preserve">Chen, T., &amp; Guestrin, C. (2016). XGBoost: A scalable tree boosting system. Proceedings of the 22nd ACM SIGKDD International Conference on Knowledge Discovery and Data Mining, 785–794.</w:t>
      </w:r>
    </w:p>
    <w:p>
      <w:pPr>
        <w:bidi/>
        <w:spacing w:after="160" w:line="300" w:lineRule="auto"/>
        <w:ind w:left="340" w:hanging="340"/>
        <w:jc w:val="both"/>
      </w:pPr>
      <w:r>
        <w:rPr>
          <w:rFonts w:ascii="Calibri" w:cs="Calibri" w:eastAsia="Calibri" w:hAnsi="Calibri"/>
          <w:color w:val="1a1a1a"/>
          <w:sz w:val="21"/>
          <w:szCs w:val="21"/>
          <w:rtl w:val="false"/>
        </w:rPr>
        <w:t xml:space="preserve">Chen, Y., Shen, W., Liu, H., &amp; Cao, X. (2025). EMAT: Enhanced multi-aspect attention transformer for financial time series forecasting. Entropy, 27(10), 1029.</w:t>
      </w:r>
    </w:p>
    <w:p>
      <w:pPr>
        <w:bidi/>
        <w:spacing w:after="160" w:line="300" w:lineRule="auto"/>
        <w:ind w:left="340" w:hanging="340"/>
        <w:jc w:val="both"/>
      </w:pPr>
      <w:r>
        <w:rPr>
          <w:rFonts w:ascii="Calibri" w:cs="Calibri" w:eastAsia="Calibri" w:hAnsi="Calibri"/>
          <w:color w:val="1a1a1a"/>
          <w:sz w:val="21"/>
          <w:szCs w:val="21"/>
          <w:rtl w:val="false"/>
        </w:rPr>
        <w:t xml:space="preserve">Cho, P., &amp; Kim, K. (2025). Novel approach for deep learning-based market forecasting and portfolio selection incorporating market efficiency. Expert Systems with Applications, 292, 128610.</w:t>
      </w:r>
    </w:p>
    <w:p>
      <w:pPr>
        <w:bidi/>
        <w:spacing w:after="160" w:line="300" w:lineRule="auto"/>
        <w:ind w:left="340" w:hanging="340"/>
        <w:jc w:val="both"/>
      </w:pPr>
      <w:r>
        <w:rPr>
          <w:rFonts w:ascii="Calibri" w:cs="Calibri" w:eastAsia="Calibri" w:hAnsi="Calibri"/>
          <w:color w:val="1a1a1a"/>
          <w:sz w:val="21"/>
          <w:szCs w:val="21"/>
          <w:rtl w:val="false"/>
        </w:rPr>
        <w:t xml:space="preserve">Coşkun, E. A., Kahyaoglu, H., &amp; Lau, C. K. M. (2023). Which return regime induces overconfidence behavior? Artificial intelligence and a nonlinear approach. Financial Innovation, 9(1).</w:t>
      </w:r>
    </w:p>
    <w:p>
      <w:pPr>
        <w:bidi/>
        <w:spacing w:after="160" w:line="300" w:lineRule="auto"/>
        <w:ind w:left="340" w:hanging="340"/>
        <w:jc w:val="both"/>
      </w:pPr>
      <w:r>
        <w:rPr>
          <w:rFonts w:ascii="Calibri" w:cs="Calibri" w:eastAsia="Calibri" w:hAnsi="Calibri"/>
          <w:color w:val="1a1a1a"/>
          <w:sz w:val="21"/>
          <w:szCs w:val="21"/>
          <w:rtl w:val="false"/>
        </w:rPr>
        <w:t xml:space="preserve">Dong, J., &amp; Liang, S. (2025). Hybrid CNN-LSTM-GNN neural network for A-share stock prediction. Entropy, 27(8), 881.</w:t>
      </w:r>
    </w:p>
    <w:p>
      <w:pPr>
        <w:bidi/>
        <w:spacing w:after="160" w:line="300" w:lineRule="auto"/>
        <w:ind w:left="340" w:hanging="340"/>
        <w:jc w:val="both"/>
      </w:pPr>
      <w:r>
        <w:rPr>
          <w:rFonts w:ascii="Calibri" w:cs="Calibri" w:eastAsia="Calibri" w:hAnsi="Calibri"/>
          <w:color w:val="1a1a1a"/>
          <w:sz w:val="21"/>
          <w:szCs w:val="21"/>
          <w:rtl w:val="false"/>
        </w:rPr>
        <w:t xml:space="preserve">Fama, E. F. (1970). Efficient capital markets: A review of theory and empirical work. The Journal of Finance, 25(2), 383–417.</w:t>
      </w:r>
    </w:p>
    <w:p>
      <w:pPr>
        <w:bidi/>
        <w:spacing w:after="160" w:line="300" w:lineRule="auto"/>
        <w:ind w:left="340" w:hanging="340"/>
        <w:jc w:val="both"/>
      </w:pPr>
      <w:r>
        <w:rPr>
          <w:rFonts w:ascii="Calibri" w:cs="Calibri" w:eastAsia="Calibri" w:hAnsi="Calibri"/>
          <w:color w:val="1a1a1a"/>
          <w:sz w:val="21"/>
          <w:szCs w:val="21"/>
          <w:rtl w:val="false"/>
        </w:rPr>
        <w:t xml:space="preserve">Fama, E. F., &amp; French, K. R. (1993). Common risk factors in the returns on stocks and bonds. Journal of Financial Economics, 33(1), 3–56.</w:t>
      </w:r>
    </w:p>
    <w:p>
      <w:pPr>
        <w:bidi/>
        <w:spacing w:after="160" w:line="300" w:lineRule="auto"/>
        <w:ind w:left="340" w:hanging="340"/>
        <w:jc w:val="both"/>
      </w:pPr>
      <w:r>
        <w:rPr>
          <w:rFonts w:ascii="Calibri" w:cs="Calibri" w:eastAsia="Calibri" w:hAnsi="Calibri"/>
          <w:color w:val="1a1a1a"/>
          <w:sz w:val="21"/>
          <w:szCs w:val="21"/>
          <w:rtl w:val="false"/>
        </w:rPr>
        <w:t xml:space="preserve">Goodfellow, I., Bengio, Y., &amp; Courville, A. (2016). Deep learning. MIT Press.</w:t>
      </w:r>
    </w:p>
    <w:p>
      <w:pPr>
        <w:bidi/>
        <w:spacing w:after="160" w:line="300" w:lineRule="auto"/>
        <w:ind w:left="340" w:hanging="340"/>
        <w:jc w:val="both"/>
      </w:pPr>
      <w:r>
        <w:rPr>
          <w:rFonts w:ascii="Calibri" w:cs="Calibri" w:eastAsia="Calibri" w:hAnsi="Calibri"/>
          <w:color w:val="1a1a1a"/>
          <w:sz w:val="21"/>
          <w:szCs w:val="21"/>
          <w:rtl w:val="false"/>
        </w:rPr>
        <w:t xml:space="preserve">Goswami, B., &amp; Uddin, A. (2026). Significance of predictors: Revisiting stock return predictions using explainable AI. Annals of Operations Research, 357, 223–257.</w:t>
      </w:r>
    </w:p>
    <w:p>
      <w:pPr>
        <w:bidi/>
        <w:spacing w:after="160" w:line="300" w:lineRule="auto"/>
        <w:ind w:left="340" w:hanging="340"/>
        <w:jc w:val="both"/>
      </w:pPr>
      <w:r>
        <w:rPr>
          <w:rFonts w:ascii="Calibri" w:cs="Calibri" w:eastAsia="Calibri" w:hAnsi="Calibri"/>
          <w:color w:val="1a1a1a"/>
          <w:sz w:val="21"/>
          <w:szCs w:val="21"/>
          <w:rtl w:val="false"/>
        </w:rPr>
        <w:t xml:space="preserve">Hochreiter, S., &amp; Schmidhuber, J. (1997). Long short-term memory. Neural Computation, 9(8), 1735–1780.</w:t>
      </w:r>
    </w:p>
    <w:p>
      <w:pPr>
        <w:bidi/>
        <w:spacing w:after="160" w:line="300" w:lineRule="auto"/>
        <w:ind w:left="340" w:hanging="340"/>
        <w:jc w:val="both"/>
      </w:pPr>
      <w:r>
        <w:rPr>
          <w:rFonts w:ascii="Calibri" w:cs="Calibri" w:eastAsia="Calibri" w:hAnsi="Calibri"/>
          <w:color w:val="1a1a1a"/>
          <w:sz w:val="21"/>
          <w:szCs w:val="21"/>
          <w:rtl w:val="false"/>
        </w:rPr>
        <w:t xml:space="preserve">Hull, J. C. (2022). Options, futures, and other derivatives (11th ed.). Pearson.</w:t>
      </w:r>
    </w:p>
    <w:p>
      <w:pPr>
        <w:bidi/>
        <w:spacing w:after="160" w:line="300" w:lineRule="auto"/>
        <w:ind w:left="340" w:hanging="340"/>
        <w:jc w:val="both"/>
      </w:pPr>
      <w:r>
        <w:rPr>
          <w:rFonts w:ascii="Calibri" w:cs="Calibri" w:eastAsia="Calibri" w:hAnsi="Calibri"/>
          <w:color w:val="1a1a1a"/>
          <w:sz w:val="21"/>
          <w:szCs w:val="21"/>
          <w:rtl w:val="false"/>
        </w:rPr>
        <w:t xml:space="preserve">Jegadeesh, N., &amp; Titman, S. (1993). Returns to buying winners and selling losers: Implications for stock market efficiency. The Journal of Finance, 48(1), 65–91.</w:t>
      </w:r>
    </w:p>
    <w:p>
      <w:pPr>
        <w:bidi/>
        <w:spacing w:after="160" w:line="300" w:lineRule="auto"/>
        <w:ind w:left="340" w:hanging="340"/>
        <w:jc w:val="both"/>
      </w:pPr>
      <w:r>
        <w:rPr>
          <w:rFonts w:ascii="Calibri" w:cs="Calibri" w:eastAsia="Calibri" w:hAnsi="Calibri"/>
          <w:color w:val="1a1a1a"/>
          <w:sz w:val="21"/>
          <w:szCs w:val="21"/>
          <w:rtl w:val="false"/>
        </w:rPr>
        <w:t xml:space="preserve">Kahneman, D., &amp; Tversky, A. (1979). Prospect theory: An analysis of decision under risk. Econometrica, 47(2), 263–291.</w:t>
      </w:r>
    </w:p>
    <w:p>
      <w:pPr>
        <w:bidi/>
        <w:spacing w:after="160" w:line="300" w:lineRule="auto"/>
        <w:ind w:left="340" w:hanging="340"/>
        <w:jc w:val="both"/>
      </w:pPr>
      <w:r>
        <w:rPr>
          <w:rFonts w:ascii="Calibri" w:cs="Calibri" w:eastAsia="Calibri" w:hAnsi="Calibri"/>
          <w:color w:val="1a1a1a"/>
          <w:sz w:val="21"/>
          <w:szCs w:val="21"/>
          <w:rtl w:val="false"/>
        </w:rPr>
        <w:t xml:space="preserve">Kayit, A. D., &amp; Ismail, M. T. (2025). Leveraging hybrid ensemble models in stock market prediction: A data-driven approach. Data Science in Finance and Economics, 5(3), 355–386.</w:t>
      </w:r>
    </w:p>
    <w:p>
      <w:pPr>
        <w:bidi/>
        <w:spacing w:after="160" w:line="300" w:lineRule="auto"/>
        <w:ind w:left="340" w:hanging="340"/>
        <w:jc w:val="both"/>
      </w:pPr>
      <w:r>
        <w:rPr>
          <w:rFonts w:ascii="Calibri" w:cs="Calibri" w:eastAsia="Calibri" w:hAnsi="Calibri"/>
          <w:color w:val="1a1a1a"/>
          <w:sz w:val="21"/>
          <w:szCs w:val="21"/>
          <w:rtl w:val="false"/>
        </w:rPr>
        <w:t xml:space="preserve">Ke, G., Meng, Q., Finley, T., Wang, T., Chen, W., Ma, W., Ye, Q., &amp; Liu, T.-Y. (2017). LightGBM: A highly efficient gradient boosting decision tree. Advances in Neural Information Processing Systems, 30.</w:t>
      </w:r>
    </w:p>
    <w:p>
      <w:pPr>
        <w:bidi/>
        <w:spacing w:after="160" w:line="300" w:lineRule="auto"/>
        <w:ind w:left="340" w:hanging="340"/>
        <w:jc w:val="both"/>
      </w:pPr>
      <w:r>
        <w:rPr>
          <w:rFonts w:ascii="Calibri" w:cs="Calibri" w:eastAsia="Calibri" w:hAnsi="Calibri"/>
          <w:color w:val="1a1a1a"/>
          <w:sz w:val="21"/>
          <w:szCs w:val="21"/>
          <w:rtl w:val="false"/>
        </w:rPr>
        <w:t xml:space="preserve">Liu, J. (2024). Predicting Chinese stock market using XGBoost multi-objective optimization with optimal weighting. PeerJ Computer Science, 10, e1931.</w:t>
      </w:r>
    </w:p>
    <w:p>
      <w:pPr>
        <w:bidi/>
        <w:spacing w:after="160" w:line="300" w:lineRule="auto"/>
        <w:ind w:left="340" w:hanging="340"/>
        <w:jc w:val="both"/>
      </w:pPr>
      <w:r>
        <w:rPr>
          <w:rFonts w:ascii="Calibri" w:cs="Calibri" w:eastAsia="Calibri" w:hAnsi="Calibri"/>
          <w:color w:val="1a1a1a"/>
          <w:sz w:val="21"/>
          <w:szCs w:val="21"/>
          <w:rtl w:val="false"/>
        </w:rPr>
        <w:t xml:space="preserve">Lo, A. W. (2004). The adaptive markets hypothesis. The Journal of Portfolio Management, 30(5), 15–29.</w:t>
      </w:r>
    </w:p>
    <w:p>
      <w:pPr>
        <w:bidi/>
        <w:spacing w:after="160" w:line="300" w:lineRule="auto"/>
        <w:ind w:left="340" w:hanging="340"/>
        <w:jc w:val="both"/>
      </w:pPr>
      <w:r>
        <w:rPr>
          <w:rFonts w:ascii="Calibri" w:cs="Calibri" w:eastAsia="Calibri" w:hAnsi="Calibri"/>
          <w:color w:val="1a1a1a"/>
          <w:sz w:val="21"/>
          <w:szCs w:val="21"/>
          <w:rtl w:val="false"/>
        </w:rPr>
        <w:t xml:space="preserve">López de Prado, M. (2018). Advances in financial machine learning. John Wiley &amp; Sons.</w:t>
      </w:r>
    </w:p>
    <w:p>
      <w:pPr>
        <w:bidi/>
        <w:spacing w:after="160" w:line="300" w:lineRule="auto"/>
        <w:ind w:left="340" w:hanging="340"/>
        <w:jc w:val="both"/>
      </w:pPr>
      <w:r>
        <w:rPr>
          <w:rFonts w:ascii="Calibri" w:cs="Calibri" w:eastAsia="Calibri" w:hAnsi="Calibri"/>
          <w:color w:val="1a1a1a"/>
          <w:sz w:val="21"/>
          <w:szCs w:val="21"/>
          <w:rtl w:val="false"/>
        </w:rPr>
        <w:t xml:space="preserve">López de Prado, M., Simonian, J., Fabozzi, F. A., &amp; Fabozzi, F. J. (2025). Enhancing Markowitz's portfolio selection paradigm with machine learning. Annals of Operations Research, 346, 319–340.</w:t>
      </w:r>
    </w:p>
    <w:p>
      <w:pPr>
        <w:bidi/>
        <w:spacing w:after="160" w:line="300" w:lineRule="auto"/>
        <w:ind w:left="340" w:hanging="340"/>
        <w:jc w:val="both"/>
      </w:pPr>
      <w:r>
        <w:rPr>
          <w:rFonts w:ascii="Calibri" w:cs="Calibri" w:eastAsia="Calibri" w:hAnsi="Calibri"/>
          <w:color w:val="1a1a1a"/>
          <w:sz w:val="21"/>
          <w:szCs w:val="21"/>
          <w:rtl w:val="false"/>
        </w:rPr>
        <w:t xml:space="preserve">Lundberg, S. M., &amp; Lee, S.-I. (2017). A unified approach to interpreting model predictions. Advances in Neural Information Processing Systems, 30.</w:t>
      </w:r>
    </w:p>
    <w:p>
      <w:pPr>
        <w:bidi/>
        <w:spacing w:after="160" w:line="300" w:lineRule="auto"/>
        <w:ind w:left="340" w:hanging="340"/>
        <w:jc w:val="both"/>
      </w:pPr>
      <w:r>
        <w:rPr>
          <w:rFonts w:ascii="Calibri" w:cs="Calibri" w:eastAsia="Calibri" w:hAnsi="Calibri"/>
          <w:color w:val="1a1a1a"/>
          <w:sz w:val="21"/>
          <w:szCs w:val="21"/>
          <w:rtl w:val="false"/>
        </w:rPr>
        <w:t xml:space="preserve">Markowitz, H. (1952). Portfolio selection. The Journal of Finance, 7(1), 77–91.</w:t>
      </w:r>
    </w:p>
    <w:p>
      <w:pPr>
        <w:bidi/>
        <w:spacing w:after="160" w:line="300" w:lineRule="auto"/>
        <w:ind w:left="340" w:hanging="340"/>
        <w:jc w:val="both"/>
      </w:pPr>
      <w:r>
        <w:rPr>
          <w:rFonts w:ascii="Calibri" w:cs="Calibri" w:eastAsia="Calibri" w:hAnsi="Calibri"/>
          <w:color w:val="1a1a1a"/>
          <w:sz w:val="21"/>
          <w:szCs w:val="21"/>
          <w:rtl w:val="false"/>
        </w:rPr>
        <w:t xml:space="preserve">Misra, A., &amp; Dalmia, A. (2007). Hedging performance of protective puts and covered calls portfolio: A study of NSE Nifty options. Management Dynamics, 7(2), Article 3.</w:t>
      </w:r>
    </w:p>
    <w:p>
      <w:pPr>
        <w:bidi/>
        <w:spacing w:after="160" w:line="300" w:lineRule="auto"/>
        <w:ind w:left="340" w:hanging="340"/>
        <w:jc w:val="both"/>
      </w:pPr>
      <w:r>
        <w:rPr>
          <w:rFonts w:ascii="Calibri" w:cs="Calibri" w:eastAsia="Calibri" w:hAnsi="Calibri"/>
          <w:color w:val="1a1a1a"/>
          <w:sz w:val="21"/>
          <w:szCs w:val="21"/>
          <w:rtl w:val="false"/>
        </w:rPr>
        <w:t xml:space="preserve">Mostafaienia, H., Yaeghoobi, K., &amp; Ebadati Esfahani, O. M. (2025). Deep learning-based price forecasting in Tehran Stock Exchange: LSTM and 1D CNN approaches. Advances in Finance and Investment, 6(3), 1–40.</w:t>
      </w:r>
    </w:p>
    <w:p>
      <w:pPr>
        <w:bidi/>
        <w:spacing w:after="160" w:line="300" w:lineRule="auto"/>
        <w:ind w:left="340" w:hanging="340"/>
        <w:jc w:val="both"/>
      </w:pPr>
      <w:r>
        <w:rPr>
          <w:rFonts w:ascii="Calibri" w:cs="Calibri" w:eastAsia="Calibri" w:hAnsi="Calibri"/>
          <w:color w:val="1a1a1a"/>
          <w:sz w:val="21"/>
          <w:szCs w:val="21"/>
          <w:rtl w:val="false"/>
        </w:rPr>
        <w:t xml:space="preserve">Ngwaba, C. A. (2025). Forecasting covered call exchange-traded funds (ETFs) using time series, machine learning, and deep learning models. Journal of Risk and Financial Management, 18(3), 120.</w:t>
      </w:r>
    </w:p>
    <w:p>
      <w:pPr>
        <w:bidi/>
        <w:spacing w:after="160" w:line="300" w:lineRule="auto"/>
        <w:ind w:left="340" w:hanging="340"/>
        <w:jc w:val="both"/>
      </w:pPr>
      <w:r>
        <w:rPr>
          <w:rFonts w:ascii="Calibri" w:cs="Calibri" w:eastAsia="Calibri" w:hAnsi="Calibri"/>
          <w:color w:val="1a1a1a"/>
          <w:sz w:val="21"/>
          <w:szCs w:val="21"/>
          <w:rtl w:val="false"/>
        </w:rPr>
        <w:t xml:space="preserve">Prokhorenkova, L., Gusev, G., Vorobev, A., Dorogush, A. V., &amp; Gulin, A. (2018). CatBoost: Unbiased boosting with categorical features. Advances in Neural Information Processing Systems, 31.</w:t>
      </w:r>
    </w:p>
    <w:p>
      <w:pPr>
        <w:bidi/>
        <w:spacing w:after="160" w:line="300" w:lineRule="auto"/>
        <w:ind w:left="340" w:hanging="340"/>
        <w:jc w:val="both"/>
      </w:pPr>
      <w:r>
        <w:rPr>
          <w:rFonts w:ascii="Calibri" w:cs="Calibri" w:eastAsia="Calibri" w:hAnsi="Calibri"/>
          <w:color w:val="1a1a1a"/>
          <w:sz w:val="21"/>
          <w:szCs w:val="21"/>
          <w:rtl w:val="false"/>
        </w:rPr>
        <w:t xml:space="preserve">Radfar, E. (2025). Stock market trend prediction using deep neural network via chart analysis: A practical method or a myth? Humanities and Social Sciences Communications, 12, 655.</w:t>
      </w:r>
    </w:p>
    <w:p>
      <w:pPr>
        <w:bidi/>
        <w:spacing w:after="160" w:line="300" w:lineRule="auto"/>
        <w:ind w:left="340" w:hanging="340"/>
        <w:jc w:val="both"/>
      </w:pPr>
      <w:r>
        <w:rPr>
          <w:rFonts w:ascii="Calibri" w:cs="Calibri" w:eastAsia="Calibri" w:hAnsi="Calibri"/>
          <w:color w:val="1a1a1a"/>
          <w:sz w:val="21"/>
          <w:szCs w:val="21"/>
          <w:rtl w:val="false"/>
        </w:rPr>
        <w:t xml:space="preserve">Rai, B., &amp; Soltanisehat, L. (2025). A multi-model machine learning framework for daily stock price prediction. Big Data and Cognitive Computing, 9(10), 248.</w:t>
      </w:r>
    </w:p>
    <w:p>
      <w:pPr>
        <w:bidi/>
        <w:spacing w:after="160" w:line="300" w:lineRule="auto"/>
        <w:ind w:left="340" w:hanging="340"/>
        <w:jc w:val="both"/>
      </w:pPr>
      <w:r>
        <w:rPr>
          <w:rFonts w:ascii="Calibri" w:cs="Calibri" w:eastAsia="Calibri" w:hAnsi="Calibri"/>
          <w:color w:val="1a1a1a"/>
          <w:sz w:val="21"/>
          <w:szCs w:val="21"/>
          <w:rtl w:val="false"/>
        </w:rPr>
        <w:t xml:space="preserve">Rockafellar, R. T., &amp; Uryasev, S. (2000). Optimization of conditional value-at-risk. Journal of Risk, 2(3), 21–41.</w:t>
      </w:r>
    </w:p>
    <w:p>
      <w:pPr>
        <w:bidi/>
        <w:spacing w:after="160" w:line="300" w:lineRule="auto"/>
        <w:ind w:left="340" w:hanging="340"/>
        <w:jc w:val="both"/>
      </w:pPr>
      <w:r>
        <w:rPr>
          <w:rFonts w:ascii="Calibri" w:cs="Calibri" w:eastAsia="Calibri" w:hAnsi="Calibri"/>
          <w:color w:val="1a1a1a"/>
          <w:sz w:val="21"/>
          <w:szCs w:val="21"/>
          <w:rtl w:val="false"/>
        </w:rPr>
        <w:t xml:space="preserve">Ślusarczyk, D., &amp; Ślepaczuk, R. (2025). Optimal Markowitz portfolio using returns forecasted with time series and machine learning models. Journal of Big Data, 12, 127.</w:t>
      </w:r>
    </w:p>
    <w:p>
      <w:pPr>
        <w:bidi/>
        <w:spacing w:after="160" w:line="300" w:lineRule="auto"/>
        <w:ind w:left="340" w:hanging="340"/>
        <w:jc w:val="both"/>
      </w:pPr>
      <w:r>
        <w:rPr>
          <w:rFonts w:ascii="Calibri" w:cs="Calibri" w:eastAsia="Calibri" w:hAnsi="Calibri"/>
          <w:color w:val="1a1a1a"/>
          <w:sz w:val="21"/>
          <w:szCs w:val="21"/>
          <w:rtl w:val="false"/>
        </w:rPr>
        <w:t xml:space="preserve">Sharpe, W. F. (1964). Capital asset prices: A theory of market equilibrium under conditions of risk. The Journal of Finance, 19(3), 425–442.</w:t>
      </w:r>
    </w:p>
    <w:p>
      <w:pPr>
        <w:bidi/>
        <w:spacing w:after="160" w:line="300" w:lineRule="auto"/>
        <w:ind w:left="340" w:hanging="340"/>
        <w:jc w:val="both"/>
      </w:pPr>
      <w:r>
        <w:rPr>
          <w:rFonts w:ascii="Calibri" w:cs="Calibri" w:eastAsia="Calibri" w:hAnsi="Calibri"/>
          <w:color w:val="1a1a1a"/>
          <w:sz w:val="21"/>
          <w:szCs w:val="21"/>
          <w:rtl w:val="false"/>
        </w:rPr>
        <w:t xml:space="preserve">Sharpe, W. F. (1966). Mutual fund performance. The Journal of Business, 39(1), 119–138.</w:t>
      </w:r>
    </w:p>
    <w:p>
      <w:pPr>
        <w:bidi/>
        <w:spacing w:after="160" w:line="300" w:lineRule="auto"/>
        <w:ind w:left="340" w:hanging="340"/>
        <w:jc w:val="both"/>
      </w:pPr>
      <w:r>
        <w:rPr>
          <w:rFonts w:ascii="Calibri" w:cs="Calibri" w:eastAsia="Calibri" w:hAnsi="Calibri"/>
          <w:color w:val="1a1a1a"/>
          <w:sz w:val="21"/>
          <w:szCs w:val="21"/>
          <w:rtl w:val="false"/>
        </w:rPr>
        <w:t xml:space="preserve">Sortino, F. A., &amp; Price, L. N. (1994). Performance measurement in a downside risk framework. The Journal of Investing, 3(3), 59–64.</w:t>
      </w:r>
    </w:p>
    <w:p>
      <w:pPr>
        <w:bidi/>
        <w:spacing w:after="160" w:line="300" w:lineRule="auto"/>
        <w:ind w:left="340" w:hanging="340"/>
        <w:jc w:val="both"/>
      </w:pPr>
      <w:r>
        <w:rPr>
          <w:rFonts w:ascii="Calibri" w:cs="Calibri" w:eastAsia="Calibri" w:hAnsi="Calibri"/>
          <w:color w:val="1a1a1a"/>
          <w:sz w:val="21"/>
          <w:szCs w:val="21"/>
          <w:rtl w:val="false"/>
        </w:rPr>
        <w:t xml:space="preserve">Tajik Gholami, M., &amp; Shahabi, A. (2025). Comparison of deep learning methods with traditional financial time series models for forecasting the TEPIX index in the Tehran Stock Exchange. Systems and Soft Computing (in press).</w:t>
      </w:r>
    </w:p>
    <w:p>
      <w:pPr>
        <w:bidi/>
        <w:spacing w:after="160" w:line="300" w:lineRule="auto"/>
        <w:ind w:left="340" w:hanging="340"/>
        <w:jc w:val="both"/>
      </w:pPr>
      <w:r>
        <w:rPr>
          <w:rFonts w:ascii="Calibri" w:cs="Calibri" w:eastAsia="Calibri" w:hAnsi="Calibri"/>
          <w:color w:val="1a1a1a"/>
          <w:sz w:val="21"/>
          <w:szCs w:val="21"/>
          <w:rtl w:val="false"/>
        </w:rPr>
        <w:t xml:space="preserve">Vaswani, A., Shazeer, N., Parmar, N., Uszkoreit, J., Jones, L., Gomez, A. N., Kaiser, Ł., &amp; Polosukhin, I. (2017). Attention is all you need. Advances in Neural Information Processing Systems, 30.</w:t>
      </w:r>
    </w:p>
    <w:p>
      <w:pPr>
        <w:bidi/>
        <w:spacing w:after="160" w:line="300" w:lineRule="auto"/>
        <w:ind w:left="340" w:hanging="340"/>
        <w:jc w:val="both"/>
      </w:pPr>
      <w:r>
        <w:rPr>
          <w:rFonts w:ascii="Calibri" w:cs="Calibri" w:eastAsia="Calibri" w:hAnsi="Calibri"/>
          <w:color w:val="1a1a1a"/>
          <w:sz w:val="21"/>
          <w:szCs w:val="21"/>
          <w:rtl w:val="false"/>
        </w:rPr>
        <w:t xml:space="preserve">Whaley, R. E. (2002). Return and risk of CBOE buy write monthly index. The Journal of Derivatives, 10(2), 35–42.</w:t>
      </w:r>
    </w:p>
    <w:p>
      <w:pPr>
        <w:bidi/>
        <w:spacing w:after="160" w:line="300" w:lineRule="auto"/>
        <w:ind w:left="340" w:hanging="340"/>
        <w:jc w:val="both"/>
      </w:pPr>
      <w:r>
        <w:rPr>
          <w:rFonts w:ascii="Calibri" w:cs="Calibri" w:eastAsia="Calibri" w:hAnsi="Calibri"/>
          <w:color w:val="1a1a1a"/>
          <w:sz w:val="21"/>
          <w:szCs w:val="21"/>
          <w:rtl w:val="false"/>
        </w:rPr>
        <w:t xml:space="preserve">Wilder, J. W. (1978). New concepts in technical trading systems. Trend Research.</w:t>
      </w:r>
    </w:p>
    <w:p>
      <w:pPr>
        <w:bidi/>
        <w:spacing w:after="160" w:line="300" w:lineRule="auto"/>
        <w:ind w:left="340" w:hanging="340"/>
        <w:jc w:val="both"/>
      </w:pPr>
      <w:r>
        <w:rPr>
          <w:rFonts w:ascii="Calibri" w:cs="Calibri" w:eastAsia="Calibri" w:hAnsi="Calibri"/>
          <w:color w:val="1a1a1a"/>
          <w:sz w:val="21"/>
          <w:szCs w:val="21"/>
          <w:rtl w:val="false"/>
        </w:rPr>
        <w:t xml:space="preserve">Zhang, F., Li, Z., Peng, S., &amp; Chen, Y. (2026). When alpha disappears: A one-switch benchmark for decision-time leakage in financial backtests. arXiv preprint arXiv:2605.23959.</w:t>
      </w:r>
    </w:p>
    <w:sectPr>
      <w:headerReference w:type="default" r:id="rId7"/>
      <w:footerReference w:type="default" r:id="rId8"/>
      <w:pgSz w:w="11906" w:h="16838" w:orient="portrait"/>
      <w:pgMar w:top="1418" w:right="1418" w:bottom="1418" w:left="1418"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center"/>
    </w:pPr>
    <w:r>
      <w:rPr>
        <w:rFonts w:ascii="B Nazanin" w:cs="B Nazanin" w:eastAsia="B Nazanin" w:hAnsi="B Nazanin"/>
        <w:color w:val="555555"/>
        <w:sz w:val="18"/>
        <w:szCs w:val="18"/>
        <w:rtl/>
      </w:rPr>
      <w:t xml:space="preserve">فصل دوم — مروری بر ادبیات پژوهش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6"/>
        <w:szCs w:val="26"/>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2026-09-05T15:08:40.765Z</dcterms:created>
  <dcterms:modified xsi:type="dcterms:W3CDTF">2026-09-05T15:08:40.765Z</dcterms:modified>
</cp:coreProperties>
</file>

<file path=docProps/custom.xml><?xml version="1.0" encoding="utf-8"?>
<Properties xmlns="http://schemas.openxmlformats.org/officeDocument/2006/custom-properties" xmlns:vt="http://schemas.openxmlformats.org/officeDocument/2006/docPropsVTypes"/>
</file>