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Documentation for the SIP Processing Pipeline</w:t>
      </w:r>
    </w:p>
    <w:p>
      <w:pPr>
        <w:jc w:val="center"/>
      </w:pPr>
      <w:r>
        <w:rPr>
          <w:i/>
          <w:sz w:val="22"/>
        </w:rPr>
        <w:t>Batch extraction, saturation matching, regression analysis, and plot generation for SIP column experiments</w:t>
      </w:r>
    </w:p>
    <w:tbl>
      <w:tblPr>
        <w:tblW w:type="auto" w:w="0"/>
        <w:jc w:val="center"/>
        <w:tblLook w:firstColumn="1" w:firstRow="1" w:lastColumn="0" w:lastRow="0" w:noHBand="0" w:noVBand="1" w:val="04A0"/>
      </w:tblPr>
      <w:tblGrid>
        <w:gridCol w:w="9792"/>
      </w:tblGrid>
      <w:tr>
        <w:tc>
          <w:tcPr>
            <w:tcW w:type="dxa" w:w="9792"/>
            <w:shd w:fill="F3F7FB"/>
            <w:tcMar>
              <w:top w:w="120" w:type="dxa"/>
              <w:start w:w="120" w:type="dxa"/>
              <w:bottom w:w="120" w:type="dxa"/>
              <w:end w:w="120" w:type="dxa"/>
            </w:tcMar>
          </w:tcPr>
          <w:p>
            <w:r>
              <w:t>This document describes the data flow, transformations, statistical models, and output products of the pipeline. It intentionally avoids version-specific language so it can serve as a stable methods note for later revisions.</w:t>
            </w:r>
          </w:p>
        </w:tc>
      </w:tr>
    </w:tbl>
    <w:p/>
    <w:p>
      <w:pPr>
        <w:pStyle w:val="Heading1"/>
      </w:pPr>
      <w:r>
        <w:t>1. Purpose and operating context</w:t>
      </w:r>
    </w:p>
    <w:p>
      <w:r>
        <w:t>The pipeline automates a common SIP column-analysis workflow. For each run folder, it locates a processed SIP workbook in Analysis/, a laboratory logbook workbook in SIP_Raw_Data/, extracts the row closest to a target frequency from each SIP sheet, matches those measurements to saturation values from the logbook, computes derived variables in real and logarithmic spaces, fits multiple candidate models, and writes both tables and publication-style plots.</w:t>
      </w:r>
    </w:p>
    <w:p>
      <w:r>
        <w:t>The code is designed for batch processing across many specimens. The same run can be processed in normalized and unnormalized modes, and the output structure is consistent enough to support both scientific interpretation and regression testing.</w:t>
      </w:r>
    </w:p>
    <w:p>
      <w:pPr>
        <w:pStyle w:val="Heading1"/>
      </w:pPr>
      <w:r>
        <w:t>2. Expected directory structure</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fill="D9EAF7"/>
            <w:vAlign w:val="center"/>
            <w:tcMar>
              <w:top w:w="80" w:type="dxa"/>
              <w:start w:w="90" w:type="dxa"/>
              <w:bottom w:w="80" w:type="dxa"/>
              <w:end w:w="90" w:type="dxa"/>
            </w:tcMar>
          </w:tcPr>
          <w:p>
            <w:r>
              <w:rPr>
                <w:b/>
              </w:rPr>
              <w:t>Location</w:t>
            </w:r>
          </w:p>
        </w:tc>
        <w:tc>
          <w:tcPr>
            <w:tcW w:type="dxa" w:w="2880"/>
            <w:shd w:fill="D9EAF7"/>
            <w:vAlign w:val="center"/>
            <w:tcMar>
              <w:top w:w="80" w:type="dxa"/>
              <w:start w:w="90" w:type="dxa"/>
              <w:bottom w:w="80" w:type="dxa"/>
              <w:end w:w="90" w:type="dxa"/>
            </w:tcMar>
          </w:tcPr>
          <w:p>
            <w:r>
              <w:rPr>
                <w:b/>
              </w:rPr>
              <w:t>Expected content</w:t>
            </w:r>
          </w:p>
        </w:tc>
        <w:tc>
          <w:tcPr>
            <w:tcW w:type="dxa" w:w="4032"/>
            <w:shd w:fill="D9EAF7"/>
            <w:vAlign w:val="center"/>
            <w:tcMar>
              <w:top w:w="80" w:type="dxa"/>
              <w:start w:w="90" w:type="dxa"/>
              <w:bottom w:w="80" w:type="dxa"/>
              <w:end w:w="90" w:type="dxa"/>
            </w:tcMar>
          </w:tcPr>
          <w:p>
            <w:r>
              <w:rPr>
                <w:b/>
              </w:rPr>
              <w:t>Role in pipeline</w:t>
            </w:r>
          </w:p>
        </w:tc>
      </w:tr>
      <w:tr>
        <w:tc>
          <w:tcPr>
            <w:tcW w:type="dxa" w:w="1944"/>
            <w:vAlign w:val="center"/>
            <w:tcMar>
              <w:top w:w="80" w:type="dxa"/>
              <w:start w:w="90" w:type="dxa"/>
              <w:bottom w:w="80" w:type="dxa"/>
              <w:end w:w="90" w:type="dxa"/>
            </w:tcMar>
          </w:tcPr>
          <w:p>
            <w:r>
              <w:t>Analysis/</w:t>
            </w:r>
          </w:p>
        </w:tc>
        <w:tc>
          <w:tcPr>
            <w:tcW w:type="dxa" w:w="2880"/>
            <w:vAlign w:val="center"/>
            <w:tcMar>
              <w:top w:w="80" w:type="dxa"/>
              <w:start w:w="90" w:type="dxa"/>
              <w:bottom w:w="80" w:type="dxa"/>
              <w:end w:w="90" w:type="dxa"/>
            </w:tcMar>
          </w:tcPr>
          <w:p>
            <w:r>
              <w:t>Processed SIP output workbook</w:t>
            </w:r>
          </w:p>
        </w:tc>
        <w:tc>
          <w:tcPr>
            <w:tcW w:type="dxa" w:w="4032"/>
            <w:vAlign w:val="center"/>
            <w:tcMar>
              <w:top w:w="80" w:type="dxa"/>
              <w:start w:w="90" w:type="dxa"/>
              <w:bottom w:w="80" w:type="dxa"/>
              <w:end w:w="90" w:type="dxa"/>
            </w:tcMar>
          </w:tcPr>
          <w:p>
            <w:r>
              <w:t>Each sheet is treated as one measurement ID; one row is extracted at the requested frequency.</w:t>
            </w:r>
          </w:p>
        </w:tc>
      </w:tr>
      <w:tr>
        <w:tc>
          <w:tcPr>
            <w:tcW w:type="dxa" w:w="1944"/>
            <w:vAlign w:val="center"/>
            <w:tcMar>
              <w:top w:w="80" w:type="dxa"/>
              <w:start w:w="90" w:type="dxa"/>
              <w:bottom w:w="80" w:type="dxa"/>
              <w:end w:w="90" w:type="dxa"/>
            </w:tcMar>
          </w:tcPr>
          <w:p>
            <w:r>
              <w:t>SIP_Raw_Data/</w:t>
            </w:r>
          </w:p>
        </w:tc>
        <w:tc>
          <w:tcPr>
            <w:tcW w:type="dxa" w:w="2880"/>
            <w:vAlign w:val="center"/>
            <w:tcMar>
              <w:top w:w="80" w:type="dxa"/>
              <w:start w:w="90" w:type="dxa"/>
              <w:bottom w:w="80" w:type="dxa"/>
              <w:end w:w="90" w:type="dxa"/>
            </w:tcMar>
          </w:tcPr>
          <w:p>
            <w:r>
              <w:t>Logbook workbook</w:t>
            </w:r>
          </w:p>
        </w:tc>
        <w:tc>
          <w:tcPr>
            <w:tcW w:type="dxa" w:w="4032"/>
            <w:vAlign w:val="center"/>
            <w:tcMar>
              <w:top w:w="80" w:type="dxa"/>
              <w:start w:w="90" w:type="dxa"/>
              <w:bottom w:w="80" w:type="dxa"/>
              <w:end w:w="90" w:type="dxa"/>
            </w:tcMar>
          </w:tcPr>
          <w:p>
            <w:r>
              <w:t>Provides degree of saturation directly, or enough inputs to derive it.</w:t>
            </w:r>
          </w:p>
        </w:tc>
      </w:tr>
      <w:tr>
        <w:tc>
          <w:tcPr>
            <w:tcW w:type="dxa" w:w="1944"/>
            <w:vAlign w:val="center"/>
            <w:tcMar>
              <w:top w:w="80" w:type="dxa"/>
              <w:start w:w="90" w:type="dxa"/>
              <w:bottom w:w="80" w:type="dxa"/>
              <w:end w:w="90" w:type="dxa"/>
            </w:tcMar>
          </w:tcPr>
          <w:p>
            <w:r>
              <w:t>Results/</w:t>
            </w:r>
          </w:p>
        </w:tc>
        <w:tc>
          <w:tcPr>
            <w:tcW w:type="dxa" w:w="2880"/>
            <w:vAlign w:val="center"/>
            <w:tcMar>
              <w:top w:w="80" w:type="dxa"/>
              <w:start w:w="90" w:type="dxa"/>
              <w:bottom w:w="80" w:type="dxa"/>
              <w:end w:w="90" w:type="dxa"/>
            </w:tcMar>
          </w:tcPr>
          <w:p>
            <w:r>
              <w:t>Output folder</w:t>
            </w:r>
          </w:p>
        </w:tc>
        <w:tc>
          <w:tcPr>
            <w:tcW w:type="dxa" w:w="4032"/>
            <w:vAlign w:val="center"/>
            <w:tcMar>
              <w:top w:w="80" w:type="dxa"/>
              <w:start w:w="90" w:type="dxa"/>
              <w:bottom w:w="80" w:type="dxa"/>
              <w:end w:w="90" w:type="dxa"/>
            </w:tcMar>
          </w:tcPr>
          <w:p>
            <w:r>
              <w:t>Receives debug tables, joined data tables, plots, and per-run Excel summaries.</w:t>
            </w:r>
          </w:p>
        </w:tc>
      </w:tr>
    </w:tbl>
    <w:p/>
    <w:p>
      <w:pPr>
        <w:pStyle w:val="Heading1"/>
      </w:pPr>
      <w:r>
        <w:t>3. High-level workflow</w:t>
      </w:r>
    </w:p>
    <w:tbl>
      <w:tblPr>
        <w:tblStyle w:val="TableGrid"/>
        <w:tblW w:type="auto" w:w="0"/>
        <w:jc w:val="center"/>
        <w:tblLook w:firstColumn="1" w:firstRow="1" w:lastColumn="0" w:lastRow="0" w:noHBand="0" w:noVBand="1" w:val="04A0"/>
      </w:tblPr>
      <w:tblGrid>
        <w:gridCol w:w="3264"/>
        <w:gridCol w:w="3264"/>
        <w:gridCol w:w="3264"/>
      </w:tblGrid>
      <w:tr>
        <w:tc>
          <w:tcPr>
            <w:tcW w:type="dxa" w:w="792"/>
            <w:shd w:fill="D9EAF7"/>
            <w:vAlign w:val="center"/>
            <w:tcMar>
              <w:top w:w="80" w:type="dxa"/>
              <w:start w:w="90" w:type="dxa"/>
              <w:bottom w:w="80" w:type="dxa"/>
              <w:end w:w="90" w:type="dxa"/>
            </w:tcMar>
          </w:tcPr>
          <w:p>
            <w:r>
              <w:rPr>
                <w:b/>
              </w:rPr>
              <w:t>Step</w:t>
            </w:r>
          </w:p>
        </w:tc>
        <w:tc>
          <w:tcPr>
            <w:tcW w:type="dxa" w:w="5472"/>
            <w:shd w:fill="D9EAF7"/>
            <w:vAlign w:val="center"/>
            <w:tcMar>
              <w:top w:w="80" w:type="dxa"/>
              <w:start w:w="90" w:type="dxa"/>
              <w:bottom w:w="80" w:type="dxa"/>
              <w:end w:w="90" w:type="dxa"/>
            </w:tcMar>
          </w:tcPr>
          <w:p>
            <w:r>
              <w:rPr>
                <w:b/>
              </w:rPr>
              <w:t>Action</w:t>
            </w:r>
          </w:p>
        </w:tc>
        <w:tc>
          <w:tcPr>
            <w:tcW w:type="dxa" w:w="3024"/>
            <w:shd w:fill="D9EAF7"/>
            <w:vAlign w:val="center"/>
            <w:tcMar>
              <w:top w:w="80" w:type="dxa"/>
              <w:start w:w="90" w:type="dxa"/>
              <w:bottom w:w="80" w:type="dxa"/>
              <w:end w:w="90" w:type="dxa"/>
            </w:tcMar>
          </w:tcPr>
          <w:p>
            <w:r>
              <w:rPr>
                <w:b/>
              </w:rPr>
              <w:t>Main outputs</w:t>
            </w:r>
          </w:p>
        </w:tc>
      </w:tr>
      <w:tr>
        <w:tc>
          <w:tcPr>
            <w:tcW w:type="dxa" w:w="792"/>
            <w:vAlign w:val="center"/>
            <w:tcMar>
              <w:top w:w="80" w:type="dxa"/>
              <w:start w:w="90" w:type="dxa"/>
              <w:bottom w:w="80" w:type="dxa"/>
              <w:end w:w="90" w:type="dxa"/>
            </w:tcMar>
          </w:tcPr>
          <w:p>
            <w:r>
              <w:t>1</w:t>
            </w:r>
          </w:p>
        </w:tc>
        <w:tc>
          <w:tcPr>
            <w:tcW w:type="dxa" w:w="5472"/>
            <w:vAlign w:val="center"/>
            <w:tcMar>
              <w:top w:w="80" w:type="dxa"/>
              <w:start w:w="90" w:type="dxa"/>
              <w:bottom w:w="80" w:type="dxa"/>
              <w:end w:w="90" w:type="dxa"/>
            </w:tcMar>
          </w:tcPr>
          <w:p>
            <w:r>
              <w:t>Discover run folders that contain both Analysis/ and SIP_Raw_Data/.</w:t>
            </w:r>
          </w:p>
        </w:tc>
        <w:tc>
          <w:tcPr>
            <w:tcW w:type="dxa" w:w="3024"/>
            <w:vAlign w:val="center"/>
            <w:tcMar>
              <w:top w:w="80" w:type="dxa"/>
              <w:start w:w="90" w:type="dxa"/>
              <w:bottom w:w="80" w:type="dxa"/>
              <w:end w:w="90" w:type="dxa"/>
            </w:tcMar>
          </w:tcPr>
          <w:p>
            <w:r>
              <w:t>List of valid run roots</w:t>
            </w:r>
          </w:p>
        </w:tc>
      </w:tr>
      <w:tr>
        <w:tc>
          <w:tcPr>
            <w:tcW w:type="dxa" w:w="792"/>
            <w:vAlign w:val="center"/>
            <w:tcMar>
              <w:top w:w="80" w:type="dxa"/>
              <w:start w:w="90" w:type="dxa"/>
              <w:bottom w:w="80" w:type="dxa"/>
              <w:end w:w="90" w:type="dxa"/>
            </w:tcMar>
          </w:tcPr>
          <w:p>
            <w:r>
              <w:t>2</w:t>
            </w:r>
          </w:p>
        </w:tc>
        <w:tc>
          <w:tcPr>
            <w:tcW w:type="dxa" w:w="5472"/>
            <w:vAlign w:val="center"/>
            <w:tcMar>
              <w:top w:w="80" w:type="dxa"/>
              <w:start w:w="90" w:type="dxa"/>
              <w:bottom w:w="80" w:type="dxa"/>
              <w:end w:w="90" w:type="dxa"/>
            </w:tcMar>
          </w:tcPr>
          <w:p>
            <w:r>
              <w:t>Locate the SIP workbook and logbook workbook.</w:t>
            </w:r>
          </w:p>
        </w:tc>
        <w:tc>
          <w:tcPr>
            <w:tcW w:type="dxa" w:w="3024"/>
            <w:vAlign w:val="center"/>
            <w:tcMar>
              <w:top w:w="80" w:type="dxa"/>
              <w:start w:w="90" w:type="dxa"/>
              <w:bottom w:w="80" w:type="dxa"/>
              <w:end w:w="90" w:type="dxa"/>
            </w:tcMar>
          </w:tcPr>
          <w:p>
            <w:r>
              <w:t>Input file paths</w:t>
            </w:r>
          </w:p>
        </w:tc>
      </w:tr>
      <w:tr>
        <w:tc>
          <w:tcPr>
            <w:tcW w:type="dxa" w:w="792"/>
            <w:vAlign w:val="center"/>
            <w:tcMar>
              <w:top w:w="80" w:type="dxa"/>
              <w:start w:w="90" w:type="dxa"/>
              <w:bottom w:w="80" w:type="dxa"/>
              <w:end w:w="90" w:type="dxa"/>
            </w:tcMar>
          </w:tcPr>
          <w:p>
            <w:r>
              <w:t>3</w:t>
            </w:r>
          </w:p>
        </w:tc>
        <w:tc>
          <w:tcPr>
            <w:tcW w:type="dxa" w:w="5472"/>
            <w:vAlign w:val="center"/>
            <w:tcMar>
              <w:top w:w="80" w:type="dxa"/>
              <w:start w:w="90" w:type="dxa"/>
              <w:bottom w:w="80" w:type="dxa"/>
              <w:end w:w="90" w:type="dxa"/>
            </w:tcMar>
          </w:tcPr>
          <w:p>
            <w:r>
              <w:t>Read each SIP sheet and extract the row nearest the target frequency.</w:t>
            </w:r>
          </w:p>
        </w:tc>
        <w:tc>
          <w:tcPr>
            <w:tcW w:type="dxa" w:w="3024"/>
            <w:vAlign w:val="center"/>
            <w:tcMar>
              <w:top w:w="80" w:type="dxa"/>
              <w:start w:w="90" w:type="dxa"/>
              <w:bottom w:w="80" w:type="dxa"/>
              <w:end w:w="90" w:type="dxa"/>
            </w:tcMar>
          </w:tcPr>
          <w:p>
            <w:r>
              <w:t>measurement, rho, sigma_imag, freq_hz</w:t>
            </w:r>
          </w:p>
        </w:tc>
      </w:tr>
      <w:tr>
        <w:tc>
          <w:tcPr>
            <w:tcW w:type="dxa" w:w="792"/>
            <w:vAlign w:val="center"/>
            <w:tcMar>
              <w:top w:w="80" w:type="dxa"/>
              <w:start w:w="90" w:type="dxa"/>
              <w:bottom w:w="80" w:type="dxa"/>
              <w:end w:w="90" w:type="dxa"/>
            </w:tcMar>
          </w:tcPr>
          <w:p>
            <w:r>
              <w:t>4</w:t>
            </w:r>
          </w:p>
        </w:tc>
        <w:tc>
          <w:tcPr>
            <w:tcW w:type="dxa" w:w="5472"/>
            <w:vAlign w:val="center"/>
            <w:tcMar>
              <w:top w:w="80" w:type="dxa"/>
              <w:start w:w="90" w:type="dxa"/>
              <w:bottom w:w="80" w:type="dxa"/>
              <w:end w:w="90" w:type="dxa"/>
            </w:tcMar>
          </w:tcPr>
          <w:p>
            <w:r>
              <w:t>Select the best logbook block by maximizing overlap with SIP measurement IDs.</w:t>
            </w:r>
          </w:p>
        </w:tc>
        <w:tc>
          <w:tcPr>
            <w:tcW w:type="dxa" w:w="3024"/>
            <w:vAlign w:val="center"/>
            <w:tcMar>
              <w:top w:w="80" w:type="dxa"/>
              <w:start w:w="90" w:type="dxa"/>
              <w:bottom w:w="80" w:type="dxa"/>
              <w:end w:w="90" w:type="dxa"/>
            </w:tcMar>
          </w:tcPr>
          <w:p>
            <w:r>
              <w:t>Saturation map and logbook metadata</w:t>
            </w:r>
          </w:p>
        </w:tc>
      </w:tr>
      <w:tr>
        <w:tc>
          <w:tcPr>
            <w:tcW w:type="dxa" w:w="792"/>
            <w:vAlign w:val="center"/>
            <w:tcMar>
              <w:top w:w="80" w:type="dxa"/>
              <w:start w:w="90" w:type="dxa"/>
              <w:bottom w:w="80" w:type="dxa"/>
              <w:end w:w="90" w:type="dxa"/>
            </w:tcMar>
          </w:tcPr>
          <w:p>
            <w:r>
              <w:t>5</w:t>
            </w:r>
          </w:p>
        </w:tc>
        <w:tc>
          <w:tcPr>
            <w:tcW w:type="dxa" w:w="5472"/>
            <w:vAlign w:val="center"/>
            <w:tcMar>
              <w:top w:w="80" w:type="dxa"/>
              <w:start w:w="90" w:type="dxa"/>
              <w:bottom w:w="80" w:type="dxa"/>
              <w:end w:w="90" w:type="dxa"/>
            </w:tcMar>
          </w:tcPr>
          <w:p>
            <w:r>
              <w:t>Merge saturation with SIP responses and compute logs, indices, and targets.</w:t>
            </w:r>
          </w:p>
        </w:tc>
        <w:tc>
          <w:tcPr>
            <w:tcW w:type="dxa" w:w="3024"/>
            <w:vAlign w:val="center"/>
            <w:tcMar>
              <w:top w:w="80" w:type="dxa"/>
              <w:start w:w="90" w:type="dxa"/>
              <w:bottom w:w="80" w:type="dxa"/>
              <w:end w:w="90" w:type="dxa"/>
            </w:tcMar>
          </w:tcPr>
          <w:p>
            <w:r>
              <w:t>Joined table with derived columns</w:t>
            </w:r>
          </w:p>
        </w:tc>
      </w:tr>
      <w:tr>
        <w:tc>
          <w:tcPr>
            <w:tcW w:type="dxa" w:w="792"/>
            <w:vAlign w:val="center"/>
            <w:tcMar>
              <w:top w:w="80" w:type="dxa"/>
              <w:start w:w="90" w:type="dxa"/>
              <w:bottom w:w="80" w:type="dxa"/>
              <w:end w:w="90" w:type="dxa"/>
            </w:tcMar>
          </w:tcPr>
          <w:p>
            <w:r>
              <w:t>6</w:t>
            </w:r>
          </w:p>
        </w:tc>
        <w:tc>
          <w:tcPr>
            <w:tcW w:type="dxa" w:w="5472"/>
            <w:vAlign w:val="center"/>
            <w:tcMar>
              <w:top w:w="80" w:type="dxa"/>
              <w:start w:w="90" w:type="dxa"/>
              <w:bottom w:w="80" w:type="dxa"/>
              <w:end w:w="90" w:type="dxa"/>
            </w:tcMar>
          </w:tcPr>
          <w:p>
            <w:r>
              <w:t>Fit linear, through-origin, polynomial, and logistic models.</w:t>
            </w:r>
          </w:p>
        </w:tc>
        <w:tc>
          <w:tcPr>
            <w:tcW w:type="dxa" w:w="3024"/>
            <w:vAlign w:val="center"/>
            <w:tcMar>
              <w:top w:w="80" w:type="dxa"/>
              <w:start w:w="90" w:type="dxa"/>
              <w:bottom w:w="80" w:type="dxa"/>
              <w:end w:w="90" w:type="dxa"/>
            </w:tcMar>
          </w:tcPr>
          <w:p>
            <w:r>
              <w:t>Fit coefficients, R2, SSE, AIC, p-values</w:t>
            </w:r>
          </w:p>
        </w:tc>
      </w:tr>
      <w:tr>
        <w:tc>
          <w:tcPr>
            <w:tcW w:type="dxa" w:w="792"/>
            <w:vAlign w:val="center"/>
            <w:tcMar>
              <w:top w:w="80" w:type="dxa"/>
              <w:start w:w="90" w:type="dxa"/>
              <w:bottom w:w="80" w:type="dxa"/>
              <w:end w:w="90" w:type="dxa"/>
            </w:tcMar>
          </w:tcPr>
          <w:p>
            <w:r>
              <w:t>7</w:t>
            </w:r>
          </w:p>
        </w:tc>
        <w:tc>
          <w:tcPr>
            <w:tcW w:type="dxa" w:w="5472"/>
            <w:vAlign w:val="center"/>
            <w:tcMar>
              <w:top w:w="80" w:type="dxa"/>
              <w:start w:w="90" w:type="dxa"/>
              <w:bottom w:w="80" w:type="dxa"/>
              <w:end w:w="90" w:type="dxa"/>
            </w:tcMar>
          </w:tcPr>
          <w:p>
            <w:r>
              <w:t>Write plots, run-level Excel files, and campaign-level summary files.</w:t>
            </w:r>
          </w:p>
        </w:tc>
        <w:tc>
          <w:tcPr>
            <w:tcW w:type="dxa" w:w="3024"/>
            <w:vAlign w:val="center"/>
            <w:tcMar>
              <w:top w:w="80" w:type="dxa"/>
              <w:start w:w="90" w:type="dxa"/>
              <w:bottom w:w="80" w:type="dxa"/>
              <w:end w:w="90" w:type="dxa"/>
            </w:tcMar>
          </w:tcPr>
          <w:p>
            <w:r>
              <w:t>PNG, CSV, XLSX outputs</w:t>
            </w:r>
          </w:p>
        </w:tc>
      </w:tr>
    </w:tbl>
    <w:p/>
    <w:p>
      <w:pPr>
        <w:pStyle w:val="Heading1"/>
      </w:pPr>
      <w:r>
        <w:t>4. Input variables and matching logic</w:t>
      </w:r>
    </w:p>
    <w:p>
      <w:r>
        <w:t>Each sheet in the SIP workbook is interpreted as a measurement. The measurement identifier is the sheet name after normalization (case folding and removal of spaces, dashes, and underscores). In the logbook, the code searches for the measurement-ID column and then selects the contiguous block that maximizes overlap with the set of SIP identifiers. This avoids accidental matching to header rows, blank regions, or unrelated blocks in a long workbook.</w:t>
      </w:r>
    </w:p>
    <w:p>
      <w:r>
        <w:t>Saturation may enter the pipeline through either of two routes:</w:t>
      </w:r>
    </w:p>
    <w:p>
      <w:pPr>
        <w:pStyle w:val="ListBullet"/>
      </w:pPr>
      <w:r>
        <w:t>• Direct route: a saturation column already exists in the logbook.</w:t>
      </w:r>
    </w:p>
    <w:p>
      <w:pPr>
        <w:pStyle w:val="ListBullet"/>
      </w:pPr>
      <w:r>
        <w:t>• Derived route: saturation is computed from water mass, porosity, and column volume.</w:t>
      </w:r>
    </w:p>
    <w:p>
      <w:pPr>
        <w:pStyle w:val="Heading1"/>
      </w:pPr>
      <w:r>
        <w:t>5. Core formulas</w:t>
      </w:r>
    </w:p>
    <w:p>
      <w:r>
        <w:t>This section expands the formulas used by the script. The pipeline combines direct physical quantities, logarithmic transforms, normalized indices, and regression models. All formulas below correspond directly to columns or fitted curves written by the code.</w:t>
      </w:r>
    </w:p>
    <w:p>
      <w:pPr>
        <w:pStyle w:val="Heading2"/>
      </w:pPr>
      <w:r>
        <w:t>5.1 Saturation</w:t>
      </w:r>
    </w:p>
    <w:p>
      <w:pPr>
        <w:spacing w:before="40" w:after="60"/>
        <w:ind w:left="288"/>
      </w:pPr>
      <w:r>
        <w:rPr>
          <w:rFonts w:ascii="Consolas" w:hAnsi="Consolas"/>
          <w:b/>
        </w:rPr>
        <w:t xml:space="preserve">Direct saturation: </w:t>
      </w:r>
      <w:r>
        <w:rPr>
          <w:rFonts w:ascii="Consolas" w:hAnsi="Consolas"/>
          <w:i/>
        </w:rPr>
        <w:t>S = value read from the logbook</w:t>
      </w:r>
    </w:p>
    <w:p>
      <w:pPr>
        <w:spacing w:after="100"/>
        <w:ind w:left="504"/>
      </w:pPr>
      <w:r>
        <w:t>If the logbook stores percent values such as 40 or 85, the script converts them to fractions by dividing by 100.</w:t>
      </w:r>
    </w:p>
    <w:p>
      <w:pPr>
        <w:spacing w:before="40" w:after="60"/>
        <w:ind w:left="288"/>
      </w:pPr>
      <w:r>
        <w:rPr>
          <w:rFonts w:ascii="Consolas" w:hAnsi="Consolas"/>
          <w:b/>
        </w:rPr>
        <w:t xml:space="preserve">Derived saturation: </w:t>
      </w:r>
      <w:r>
        <w:rPr>
          <w:rFonts w:ascii="Consolas" w:hAnsi="Consolas"/>
          <w:i/>
        </w:rPr>
        <w:t>S = M_w / (rho_w * phi * V)</w:t>
      </w:r>
    </w:p>
    <w:p>
      <w:pPr>
        <w:spacing w:after="100"/>
        <w:ind w:left="504"/>
      </w:pPr>
      <w:r>
        <w:t>Here M_w is water mass in kilograms, rho_w is water density (1000 kg/m^3), phi is porosity, and V is the column volume in m^3.</w:t>
      </w:r>
    </w:p>
    <w:p>
      <w:pPr>
        <w:pStyle w:val="Heading2"/>
      </w:pPr>
      <w:r>
        <w:t>5.2 Log-domain variables</w:t>
      </w:r>
    </w:p>
    <w:p>
      <w:pPr>
        <w:spacing w:before="40" w:after="60"/>
        <w:ind w:left="288"/>
      </w:pPr>
      <w:r>
        <w:rPr>
          <w:rFonts w:ascii="Consolas" w:hAnsi="Consolas"/>
          <w:b/>
        </w:rPr>
        <w:t xml:space="preserve">Log saturation: </w:t>
      </w:r>
      <w:r>
        <w:rPr>
          <w:rFonts w:ascii="Consolas" w:hAnsi="Consolas"/>
          <w:i/>
        </w:rPr>
        <w:t>logS = log10(S)</w:t>
      </w:r>
    </w:p>
    <w:p>
      <w:pPr>
        <w:spacing w:before="40" w:after="60"/>
        <w:ind w:left="288"/>
      </w:pPr>
      <w:r>
        <w:rPr>
          <w:rFonts w:ascii="Consolas" w:hAnsi="Consolas"/>
          <w:b/>
        </w:rPr>
        <w:t xml:space="preserve">Log resistivity: </w:t>
      </w:r>
      <w:r>
        <w:rPr>
          <w:rFonts w:ascii="Consolas" w:hAnsi="Consolas"/>
          <w:i/>
        </w:rPr>
        <w:t>logRho = log10(rho)</w:t>
      </w:r>
    </w:p>
    <w:p>
      <w:pPr>
        <w:spacing w:before="40" w:after="60"/>
        <w:ind w:left="288"/>
      </w:pPr>
      <w:r>
        <w:rPr>
          <w:rFonts w:ascii="Consolas" w:hAnsi="Consolas"/>
          <w:b/>
        </w:rPr>
        <w:t xml:space="preserve">Log imaginary conductivity: </w:t>
      </w:r>
      <w:r>
        <w:rPr>
          <w:rFonts w:ascii="Consolas" w:hAnsi="Consolas"/>
          <w:i/>
        </w:rPr>
        <w:t>logSig = log10(sigma_imag)</w:t>
      </w:r>
    </w:p>
    <w:p>
      <w:r>
        <w:t>Rows with nonpositive or nonfinite values cannot be sent through log10, so the script removes them before fitting. Those removed rows are written to a dropped-row CSV for traceability.</w:t>
      </w:r>
    </w:p>
    <w:p>
      <w:pPr>
        <w:pStyle w:val="Heading2"/>
      </w:pPr>
      <w:r>
        <w:t>5.3 Reference quantities and normalized variables</w:t>
      </w:r>
    </w:p>
    <w:p>
      <w:pPr>
        <w:spacing w:before="40" w:after="60"/>
        <w:ind w:left="288"/>
      </w:pPr>
      <w:r>
        <w:rPr>
          <w:rFonts w:ascii="Consolas" w:hAnsi="Consolas"/>
          <w:b/>
        </w:rPr>
        <w:t xml:space="preserve">Reference selection: </w:t>
      </w:r>
      <w:r>
        <w:rPr>
          <w:rFonts w:ascii="Consolas" w:hAnsi="Consolas"/>
          <w:i/>
        </w:rPr>
        <w:t>rho_ref, sig_ref = values at the row with maximum S</w:t>
      </w:r>
    </w:p>
    <w:p>
      <w:pPr>
        <w:spacing w:after="100"/>
        <w:ind w:left="504"/>
      </w:pPr>
      <w:r>
        <w:t>The row with the largest matched saturation is treated as the reference state.</w:t>
      </w:r>
    </w:p>
    <w:p>
      <w:pPr>
        <w:spacing w:before="40" w:after="60"/>
        <w:ind w:left="288"/>
      </w:pPr>
      <w:r>
        <w:rPr>
          <w:rFonts w:ascii="Consolas" w:hAnsi="Consolas"/>
          <w:b/>
        </w:rPr>
        <w:t xml:space="preserve">Normalized resistivity: </w:t>
      </w:r>
      <w:r>
        <w:rPr>
          <w:rFonts w:ascii="Consolas" w:hAnsi="Consolas"/>
          <w:i/>
        </w:rPr>
        <w:t>rho_idx = rho / rho_ref</w:t>
      </w:r>
    </w:p>
    <w:p>
      <w:pPr>
        <w:spacing w:before="40" w:after="60"/>
        <w:ind w:left="288"/>
      </w:pPr>
      <w:r>
        <w:rPr>
          <w:rFonts w:ascii="Consolas" w:hAnsi="Consolas"/>
          <w:b/>
        </w:rPr>
        <w:t xml:space="preserve">Normalized conductivity: </w:t>
      </w:r>
      <w:r>
        <w:rPr>
          <w:rFonts w:ascii="Consolas" w:hAnsi="Consolas"/>
          <w:i/>
        </w:rPr>
        <w:t>sig_idx = sigma_imag / sig_ref</w:t>
      </w:r>
    </w:p>
    <w:p>
      <w:pPr>
        <w:spacing w:before="40" w:after="60"/>
        <w:ind w:left="288"/>
      </w:pPr>
      <w:r>
        <w:rPr>
          <w:rFonts w:ascii="Consolas" w:hAnsi="Consolas"/>
          <w:b/>
        </w:rPr>
        <w:t xml:space="preserve">Resistivity index in log space: </w:t>
      </w:r>
      <w:r>
        <w:rPr>
          <w:rFonts w:ascii="Consolas" w:hAnsi="Consolas"/>
          <w:i/>
        </w:rPr>
        <w:t>logRhoIdx = log10(rho) - log10(rho_ref)</w:t>
      </w:r>
    </w:p>
    <w:p>
      <w:pPr>
        <w:spacing w:before="40" w:after="60"/>
        <w:ind w:left="288"/>
      </w:pPr>
      <w:r>
        <w:rPr>
          <w:rFonts w:ascii="Consolas" w:hAnsi="Consolas"/>
          <w:b/>
        </w:rPr>
        <w:t xml:space="preserve">Conductivity index option 1: </w:t>
      </w:r>
      <w:r>
        <w:rPr>
          <w:rFonts w:ascii="Consolas" w:hAnsi="Consolas"/>
          <w:i/>
        </w:rPr>
        <w:t>logSigIdx = log10(sigma_imag) - log10(sig_ref)</w:t>
      </w:r>
    </w:p>
    <w:p>
      <w:pPr>
        <w:spacing w:after="100"/>
        <w:ind w:left="504"/>
      </w:pPr>
      <w:r>
        <w:t>Used when the ICI mode is sig_over_sigref.</w:t>
      </w:r>
    </w:p>
    <w:p>
      <w:pPr>
        <w:spacing w:before="40" w:after="60"/>
        <w:ind w:left="288"/>
      </w:pPr>
      <w:r>
        <w:rPr>
          <w:rFonts w:ascii="Consolas" w:hAnsi="Consolas"/>
          <w:b/>
        </w:rPr>
        <w:t xml:space="preserve">Conductivity index option 2: </w:t>
      </w:r>
      <w:r>
        <w:rPr>
          <w:rFonts w:ascii="Consolas" w:hAnsi="Consolas"/>
          <w:i/>
        </w:rPr>
        <w:t>logSigIdx = log10(sig_ref) - log10(sigma_imag)</w:t>
      </w:r>
    </w:p>
    <w:p>
      <w:pPr>
        <w:spacing w:after="100"/>
        <w:ind w:left="504"/>
      </w:pPr>
      <w:r>
        <w:t>Used when the ICI mode is sigref_over_sig.</w:t>
      </w:r>
    </w:p>
    <w:p>
      <w:pPr>
        <w:pStyle w:val="Heading2"/>
      </w:pPr>
      <w:r>
        <w:t>5.4 VN-style target quantities</w:t>
      </w:r>
    </w:p>
    <w:p>
      <w:pPr>
        <w:spacing w:before="40" w:after="60"/>
        <w:ind w:left="288"/>
      </w:pPr>
      <w:r>
        <w:rPr>
          <w:rFonts w:ascii="Consolas" w:hAnsi="Consolas"/>
          <w:b/>
        </w:rPr>
        <w:t xml:space="preserve">VN resistivity target: </w:t>
      </w:r>
      <w:r>
        <w:rPr>
          <w:rFonts w:ascii="Consolas" w:hAnsi="Consolas"/>
          <w:i/>
        </w:rPr>
        <w:t>logRI_vn = logRhoIdx in normalized mode, or logRho in unnormalized mode</w:t>
      </w:r>
    </w:p>
    <w:p>
      <w:pPr>
        <w:spacing w:before="40" w:after="60"/>
        <w:ind w:left="288"/>
      </w:pPr>
      <w:r>
        <w:rPr>
          <w:rFonts w:ascii="Consolas" w:hAnsi="Consolas"/>
          <w:b/>
        </w:rPr>
        <w:t xml:space="preserve">VN conductivity target: </w:t>
      </w:r>
      <w:r>
        <w:rPr>
          <w:rFonts w:ascii="Consolas" w:hAnsi="Consolas"/>
          <w:i/>
        </w:rPr>
        <w:t>logICI_vn = log10(sig_ref) - log10(sigma_imag) in normalized mode, or logSig in unnormalized mode</w:t>
      </w:r>
    </w:p>
    <w:p>
      <w:r>
        <w:t>The key point is that the VN-style conductivity target always uses the sig_ref/sig direction in normalized processing. That choice is kept fixed so the target figure remains comparable across runs.</w:t>
      </w:r>
    </w:p>
    <w:p>
      <w:pPr>
        <w:pStyle w:val="Heading1"/>
      </w:pPr>
      <w:r>
        <w:t>6. Regression models</w:t>
      </w:r>
    </w:p>
    <w:p>
      <w:pPr>
        <w:pStyle w:val="Heading2"/>
      </w:pPr>
      <w:r>
        <w:t>6.1 Standard linear model</w:t>
      </w:r>
    </w:p>
    <w:p>
      <w:pPr>
        <w:spacing w:before="40" w:after="60"/>
        <w:ind w:left="288"/>
      </w:pPr>
      <w:r>
        <w:rPr>
          <w:rFonts w:ascii="Consolas" w:hAnsi="Consolas"/>
          <w:b/>
        </w:rPr>
        <w:t xml:space="preserve">Model form: </w:t>
      </w:r>
      <w:r>
        <w:rPr>
          <w:rFonts w:ascii="Consolas" w:hAnsi="Consolas"/>
          <w:i/>
        </w:rPr>
        <w:t>y_hat = a*x + b</w:t>
      </w:r>
    </w:p>
    <w:p>
      <w:pPr>
        <w:spacing w:before="40" w:after="60"/>
        <w:ind w:left="288"/>
      </w:pPr>
      <w:r>
        <w:rPr>
          <w:rFonts w:ascii="Consolas" w:hAnsi="Consolas"/>
          <w:b/>
        </w:rPr>
        <w:t xml:space="preserve">Residual sum of squares: </w:t>
      </w:r>
      <w:r>
        <w:rPr>
          <w:rFonts w:ascii="Consolas" w:hAnsi="Consolas"/>
          <w:i/>
        </w:rPr>
        <w:t>SSE = sum_i (y_i - y_hat_i)^2</w:t>
      </w:r>
    </w:p>
    <w:p>
      <w:pPr>
        <w:spacing w:before="40" w:after="60"/>
        <w:ind w:left="288"/>
      </w:pPr>
      <w:r>
        <w:rPr>
          <w:rFonts w:ascii="Consolas" w:hAnsi="Consolas"/>
          <w:b/>
        </w:rPr>
        <w:t xml:space="preserve">Coefficient of determination: </w:t>
      </w:r>
      <w:r>
        <w:rPr>
          <w:rFonts w:ascii="Consolas" w:hAnsi="Consolas"/>
          <w:i/>
        </w:rPr>
        <w:t>R^2 = 1 - SSE / SST</w:t>
      </w:r>
    </w:p>
    <w:p>
      <w:pPr>
        <w:spacing w:after="100"/>
        <w:ind w:left="504"/>
      </w:pPr>
      <w:r>
        <w:t>SST is the total sum of squares around the sample mean.</w:t>
      </w:r>
    </w:p>
    <w:p>
      <w:pPr>
        <w:spacing w:before="40" w:after="60"/>
        <w:ind w:left="288"/>
      </w:pPr>
      <w:r>
        <w:rPr>
          <w:rFonts w:ascii="Consolas" w:hAnsi="Consolas"/>
          <w:b/>
        </w:rPr>
        <w:t xml:space="preserve">Gaussian AIC: </w:t>
      </w:r>
      <w:r>
        <w:rPr>
          <w:rFonts w:ascii="Consolas" w:hAnsi="Consolas"/>
          <w:i/>
        </w:rPr>
        <w:t>AIC = n * ln(SSE / n) + 2*k</w:t>
      </w:r>
    </w:p>
    <w:p>
      <w:pPr>
        <w:spacing w:after="100"/>
        <w:ind w:left="504"/>
      </w:pPr>
      <w:r>
        <w:t>Here n is the number of fitted points and k is the number of model parameters. For the linear model, k = 2.</w:t>
      </w:r>
    </w:p>
    <w:p>
      <w:pPr>
        <w:spacing w:before="40" w:after="60"/>
        <w:ind w:left="288"/>
      </w:pPr>
      <w:r>
        <w:rPr>
          <w:rFonts w:ascii="Consolas" w:hAnsi="Consolas"/>
          <w:b/>
        </w:rPr>
        <w:t xml:space="preserve">F-test p-value: </w:t>
      </w:r>
      <w:r>
        <w:rPr>
          <w:rFonts w:ascii="Consolas" w:hAnsi="Consolas"/>
          <w:i/>
        </w:rPr>
        <w:t>F = ((SST - SSE)/df_model) / (SSE/df_residual)</w:t>
      </w:r>
    </w:p>
    <w:p>
      <w:pPr>
        <w:spacing w:after="100"/>
        <w:ind w:left="504"/>
      </w:pPr>
      <w:r>
        <w:t>The script evaluates the F survival function through an incomplete-beta implementation and reports the model p-value.</w:t>
      </w:r>
    </w:p>
    <w:p>
      <w:r>
        <w:t>The ordinary linear model is used repeatedly: for the raw log-log exponent plots, the index plots, and the real-space bundle plots.</w:t>
      </w:r>
    </w:p>
    <w:p>
      <w:pPr>
        <w:pStyle w:val="Heading2"/>
      </w:pPr>
      <w:r>
        <w:t>6.2 Through-origin target model</w:t>
      </w:r>
    </w:p>
    <w:p>
      <w:pPr>
        <w:spacing w:before="40" w:after="60"/>
        <w:ind w:left="288"/>
      </w:pPr>
      <w:r>
        <w:rPr>
          <w:rFonts w:ascii="Consolas" w:hAnsi="Consolas"/>
          <w:b/>
        </w:rPr>
        <w:t xml:space="preserve">Model form: </w:t>
      </w:r>
      <w:r>
        <w:rPr>
          <w:rFonts w:ascii="Consolas" w:hAnsi="Consolas"/>
          <w:i/>
        </w:rPr>
        <w:t>y_hat = a*x</w:t>
      </w:r>
    </w:p>
    <w:p>
      <w:pPr>
        <w:spacing w:before="40" w:after="60"/>
        <w:ind w:left="288"/>
      </w:pPr>
      <w:r>
        <w:rPr>
          <w:rFonts w:ascii="Consolas" w:hAnsi="Consolas"/>
          <w:b/>
        </w:rPr>
        <w:t xml:space="preserve">Closed-form slope: </w:t>
      </w:r>
      <w:r>
        <w:rPr>
          <w:rFonts w:ascii="Consolas" w:hAnsi="Consolas"/>
          <w:i/>
        </w:rPr>
        <w:t>a = (x dot y) / (x dot x)</w:t>
      </w:r>
    </w:p>
    <w:p>
      <w:pPr>
        <w:spacing w:after="100"/>
        <w:ind w:left="504"/>
      </w:pPr>
      <w:r>
        <w:t>This slope is interpreted as the target exponent for the VN-style RI and ICI plots.</w:t>
      </w:r>
    </w:p>
    <w:p>
      <w:r>
        <w:t>Because the intercept is constrained to zero, this model highlights a direct proportionality between the response and log10(saturation). It is therefore used only for the target plots, not for the general raw or index trend lines.</w:t>
      </w:r>
    </w:p>
    <w:p>
      <w:pPr>
        <w:pStyle w:val="Heading2"/>
      </w:pPr>
      <w:r>
        <w:t>6.3 Polynomial model</w:t>
      </w:r>
    </w:p>
    <w:p>
      <w:pPr>
        <w:spacing w:before="40" w:after="60"/>
        <w:ind w:left="288"/>
      </w:pPr>
      <w:r>
        <w:rPr>
          <w:rFonts w:ascii="Consolas" w:hAnsi="Consolas"/>
          <w:b/>
        </w:rPr>
        <w:t xml:space="preserve">Model form: </w:t>
      </w:r>
      <w:r>
        <w:rPr>
          <w:rFonts w:ascii="Consolas" w:hAnsi="Consolas"/>
          <w:i/>
        </w:rPr>
        <w:t>y_hat = c_0*x^d + c_1*x^(d-1) + ... + c_d</w:t>
      </w:r>
    </w:p>
    <w:p>
      <w:pPr>
        <w:spacing w:after="100"/>
        <w:ind w:left="504"/>
      </w:pPr>
      <w:r>
        <w:t>The degree d is set by --poly-deg. The fit is performed with numpy.polyfit and written back to the joined CSV as predicted values.</w:t>
      </w:r>
    </w:p>
    <w:p>
      <w:r>
        <w:t>Polynomial fits are diagnostic rather than canonical. They can capture curvature well, especially with only a few points, but their coefficients are not usually interpreted physically in the way that exponent or logistic parameters are.</w:t>
      </w:r>
    </w:p>
    <w:p>
      <w:pPr>
        <w:pStyle w:val="Heading2"/>
      </w:pPr>
      <w:r>
        <w:t>6.4 Four-parameter logistic model</w:t>
      </w:r>
    </w:p>
    <w:p>
      <w:pPr>
        <w:spacing w:before="40" w:after="60"/>
        <w:ind w:left="288"/>
      </w:pPr>
      <w:r>
        <w:rPr>
          <w:rFonts w:ascii="Consolas" w:hAnsi="Consolas"/>
          <w:b/>
        </w:rPr>
        <w:t xml:space="preserve">Model form: </w:t>
      </w:r>
      <w:r>
        <w:rPr>
          <w:rFonts w:ascii="Consolas" w:hAnsi="Consolas"/>
          <w:i/>
        </w:rPr>
        <w:t>f(x) = c + L / (1 + exp(-k*(x - x0)))</w:t>
      </w:r>
    </w:p>
    <w:p>
      <w:pPr>
        <w:spacing w:before="40" w:after="60"/>
        <w:ind w:left="288"/>
      </w:pPr>
      <w:r>
        <w:rPr>
          <w:rFonts w:ascii="Consolas" w:hAnsi="Consolas"/>
          <w:b/>
        </w:rPr>
        <w:t xml:space="preserve">Lower asymptote: </w:t>
      </w:r>
      <w:r>
        <w:rPr>
          <w:rFonts w:ascii="Consolas" w:hAnsi="Consolas"/>
          <w:i/>
        </w:rPr>
        <w:t>x &lt;&lt; x0  =&gt;  f(x) approx c</w:t>
      </w:r>
    </w:p>
    <w:p>
      <w:pPr>
        <w:spacing w:before="40" w:after="60"/>
        <w:ind w:left="288"/>
      </w:pPr>
      <w:r>
        <w:rPr>
          <w:rFonts w:ascii="Consolas" w:hAnsi="Consolas"/>
          <w:b/>
        </w:rPr>
        <w:t xml:space="preserve">Upper asymptote: </w:t>
      </w:r>
      <w:r>
        <w:rPr>
          <w:rFonts w:ascii="Consolas" w:hAnsi="Consolas"/>
          <w:i/>
        </w:rPr>
        <w:t>x &gt;&gt; x0  =&gt;  f(x) approx c + L</w:t>
      </w:r>
    </w:p>
    <w:p>
      <w:pPr>
        <w:spacing w:before="40" w:after="60"/>
        <w:ind w:left="288"/>
      </w:pPr>
      <w:r>
        <w:rPr>
          <w:rFonts w:ascii="Consolas" w:hAnsi="Consolas"/>
          <w:b/>
        </w:rPr>
        <w:t xml:space="preserve">Inflection control: </w:t>
      </w:r>
      <w:r>
        <w:rPr>
          <w:rFonts w:ascii="Consolas" w:hAnsi="Consolas"/>
          <w:i/>
        </w:rPr>
        <w:t>x0 = location of transition; k = steepness of transition</w:t>
      </w:r>
    </w:p>
    <w:p>
      <w:r>
        <w:t>In practical terms, c is the lower plateau, c + L is the upper plateau, x0 marks the center of the transition, and k controls how sharp the transition is. This is why the logistic curve is often visually attractive for saturation-response relationships that rise quickly and then level off.</w:t>
      </w:r>
    </w:p>
    <w:p>
      <w:r>
        <w:t>The optimizer is SciPy-free. It starts from heuristic initial values, then performs a bounded coordinate search around the current best solution. At each iteration it perturbs L, k, x0, and c, evaluates the resulting SSE, and keeps improvements. The search stops when no meaningful improvement remains or the time cap is reached.</w:t>
      </w:r>
    </w:p>
    <w:p>
      <w:pPr>
        <w:spacing w:before="40" w:after="60"/>
        <w:ind w:left="288"/>
      </w:pPr>
      <w:r>
        <w:rPr>
          <w:rFonts w:ascii="Consolas" w:hAnsi="Consolas"/>
          <w:b/>
        </w:rPr>
        <w:t xml:space="preserve">Acceptance flag: </w:t>
      </w:r>
      <w:r>
        <w:rPr>
          <w:rFonts w:ascii="Consolas" w:hAnsi="Consolas"/>
          <w:i/>
        </w:rPr>
        <w:t>accept if (R2_logistic &gt;= R2_linear + eps) or (AIC_logistic &lt; AIC_linear)</w:t>
      </w:r>
    </w:p>
    <w:p>
      <w:pPr>
        <w:spacing w:after="100"/>
        <w:ind w:left="504"/>
      </w:pPr>
      <w:r>
        <w:t>In the current script, this acceptance test is preserved as metadata for labeling. The logistic curve is still written to the output when it was successfully computed.</w:t>
      </w:r>
    </w:p>
    <w:p>
      <w:pPr>
        <w:pStyle w:val="Heading1"/>
      </w:pPr>
      <w:r>
        <w:t>7. Real-space and log-space plot families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D9EAF7"/>
            <w:vAlign w:val="center"/>
            <w:tcMar>
              <w:top w:w="80" w:type="dxa"/>
              <w:start w:w="90" w:type="dxa"/>
              <w:bottom w:w="80" w:type="dxa"/>
              <w:end w:w="90" w:type="dxa"/>
            </w:tcMar>
          </w:tcPr>
          <w:p>
            <w:r>
              <w:rPr>
                <w:b/>
              </w:rPr>
              <w:t>Plot family</w:t>
            </w:r>
          </w:p>
        </w:tc>
        <w:tc>
          <w:tcPr>
            <w:tcW w:type="dxa" w:w="2880"/>
            <w:shd w:fill="D9EAF7"/>
            <w:vAlign w:val="center"/>
            <w:tcMar>
              <w:top w:w="80" w:type="dxa"/>
              <w:start w:w="90" w:type="dxa"/>
              <w:bottom w:w="80" w:type="dxa"/>
              <w:end w:w="90" w:type="dxa"/>
            </w:tcMar>
          </w:tcPr>
          <w:p>
            <w:r>
              <w:rPr>
                <w:b/>
              </w:rPr>
              <w:t>Axes</w:t>
            </w:r>
          </w:p>
        </w:tc>
        <w:tc>
          <w:tcPr>
            <w:tcW w:type="dxa" w:w="4320"/>
            <w:shd w:fill="D9EAF7"/>
            <w:vAlign w:val="center"/>
            <w:tcMar>
              <w:top w:w="80" w:type="dxa"/>
              <w:start w:w="90" w:type="dxa"/>
              <w:bottom w:w="80" w:type="dxa"/>
              <w:end w:w="90" w:type="dxa"/>
            </w:tcMar>
          </w:tcPr>
          <w:p>
            <w:r>
              <w:rPr>
                <w:b/>
              </w:rPr>
              <w:t>Interpretation</w:t>
            </w:r>
          </w:p>
        </w:tc>
      </w:tr>
      <w:tr>
        <w:tc>
          <w:tcPr>
            <w:tcW w:type="dxa" w:w="1728"/>
            <w:vAlign w:val="center"/>
            <w:tcMar>
              <w:top w:w="80" w:type="dxa"/>
              <w:start w:w="90" w:type="dxa"/>
              <w:bottom w:w="80" w:type="dxa"/>
              <w:end w:w="90" w:type="dxa"/>
            </w:tcMar>
          </w:tcPr>
          <w:p>
            <w:r>
              <w:t>RAW</w:t>
            </w:r>
          </w:p>
        </w:tc>
        <w:tc>
          <w:tcPr>
            <w:tcW w:type="dxa" w:w="2880"/>
            <w:vAlign w:val="center"/>
            <w:tcMar>
              <w:top w:w="80" w:type="dxa"/>
              <w:start w:w="90" w:type="dxa"/>
              <w:bottom w:w="80" w:type="dxa"/>
              <w:end w:w="90" w:type="dxa"/>
            </w:tcMar>
          </w:tcPr>
          <w:p>
            <w:r>
              <w:t>logRho or logSig versus logS</w:t>
            </w:r>
          </w:p>
        </w:tc>
        <w:tc>
          <w:tcPr>
            <w:tcW w:type="dxa" w:w="4320"/>
            <w:vAlign w:val="center"/>
            <w:tcMar>
              <w:top w:w="80" w:type="dxa"/>
              <w:start w:w="90" w:type="dxa"/>
              <w:bottom w:w="80" w:type="dxa"/>
              <w:end w:w="90" w:type="dxa"/>
            </w:tcMar>
          </w:tcPr>
          <w:p>
            <w:r>
              <w:t>Classical exponent view; emphasizes approximately linear behavior in log-log space.</w:t>
            </w:r>
          </w:p>
        </w:tc>
      </w:tr>
      <w:tr>
        <w:tc>
          <w:tcPr>
            <w:tcW w:type="dxa" w:w="1728"/>
            <w:vAlign w:val="center"/>
            <w:tcMar>
              <w:top w:w="80" w:type="dxa"/>
              <w:start w:w="90" w:type="dxa"/>
              <w:bottom w:w="80" w:type="dxa"/>
              <w:end w:w="90" w:type="dxa"/>
            </w:tcMar>
          </w:tcPr>
          <w:p>
            <w:r>
              <w:t>INDEX</w:t>
            </w:r>
          </w:p>
        </w:tc>
        <w:tc>
          <w:tcPr>
            <w:tcW w:type="dxa" w:w="2880"/>
            <w:vAlign w:val="center"/>
            <w:tcMar>
              <w:top w:w="80" w:type="dxa"/>
              <w:start w:w="90" w:type="dxa"/>
              <w:bottom w:w="80" w:type="dxa"/>
              <w:end w:w="90" w:type="dxa"/>
            </w:tcMar>
          </w:tcPr>
          <w:p>
            <w:r>
              <w:t>logRhoIdx or logICI_vn versus logS</w:t>
            </w:r>
          </w:p>
        </w:tc>
        <w:tc>
          <w:tcPr>
            <w:tcW w:type="dxa" w:w="4320"/>
            <w:vAlign w:val="center"/>
            <w:tcMar>
              <w:top w:w="80" w:type="dxa"/>
              <w:start w:w="90" w:type="dxa"/>
              <w:bottom w:w="80" w:type="dxa"/>
              <w:end w:w="90" w:type="dxa"/>
            </w:tcMar>
          </w:tcPr>
          <w:p>
            <w:r>
              <w:t>Normalized response view anchored to the maximum-saturation reference row.</w:t>
            </w:r>
          </w:p>
        </w:tc>
      </w:tr>
      <w:tr>
        <w:tc>
          <w:tcPr>
            <w:tcW w:type="dxa" w:w="1728"/>
            <w:vAlign w:val="center"/>
            <w:tcMar>
              <w:top w:w="80" w:type="dxa"/>
              <w:start w:w="90" w:type="dxa"/>
              <w:bottom w:w="80" w:type="dxa"/>
              <w:end w:w="90" w:type="dxa"/>
            </w:tcMar>
          </w:tcPr>
          <w:p>
            <w:r>
              <w:t>TARGET</w:t>
            </w:r>
          </w:p>
        </w:tc>
        <w:tc>
          <w:tcPr>
            <w:tcW w:type="dxa" w:w="2880"/>
            <w:vAlign w:val="center"/>
            <w:tcMar>
              <w:top w:w="80" w:type="dxa"/>
              <w:start w:w="90" w:type="dxa"/>
              <w:bottom w:w="80" w:type="dxa"/>
              <w:end w:w="90" w:type="dxa"/>
            </w:tcMar>
          </w:tcPr>
          <w:p>
            <w:r>
              <w:t>logRI_vn or logICI_vn versus logS with zero intercept</w:t>
            </w:r>
          </w:p>
        </w:tc>
        <w:tc>
          <w:tcPr>
            <w:tcW w:type="dxa" w:w="4320"/>
            <w:vAlign w:val="center"/>
            <w:tcMar>
              <w:top w:w="80" w:type="dxa"/>
              <w:start w:w="90" w:type="dxa"/>
              <w:bottom w:w="80" w:type="dxa"/>
              <w:end w:w="90" w:type="dxa"/>
            </w:tcMar>
          </w:tcPr>
          <w:p>
            <w:r>
              <w:t>Exponent-style target plot used for VN interpretation.</w:t>
            </w:r>
          </w:p>
        </w:tc>
      </w:tr>
      <w:tr>
        <w:tc>
          <w:tcPr>
            <w:tcW w:type="dxa" w:w="1728"/>
            <w:vAlign w:val="center"/>
            <w:tcMar>
              <w:top w:w="80" w:type="dxa"/>
              <w:start w:w="90" w:type="dxa"/>
              <w:bottom w:w="80" w:type="dxa"/>
              <w:end w:w="90" w:type="dxa"/>
            </w:tcMar>
          </w:tcPr>
          <w:p>
            <w:r>
              <w:t>Diagnostics</w:t>
            </w:r>
          </w:p>
        </w:tc>
        <w:tc>
          <w:tcPr>
            <w:tcW w:type="dxa" w:w="2880"/>
            <w:vAlign w:val="center"/>
            <w:tcMar>
              <w:top w:w="80" w:type="dxa"/>
              <w:start w:w="90" w:type="dxa"/>
              <w:bottom w:w="80" w:type="dxa"/>
              <w:end w:w="90" w:type="dxa"/>
            </w:tcMar>
          </w:tcPr>
          <w:p>
            <w:r>
              <w:t>logRho versus logS plus residual panels</w:t>
            </w:r>
          </w:p>
        </w:tc>
        <w:tc>
          <w:tcPr>
            <w:tcW w:type="dxa" w:w="4320"/>
            <w:vAlign w:val="center"/>
            <w:tcMar>
              <w:top w:w="80" w:type="dxa"/>
              <w:start w:w="90" w:type="dxa"/>
              <w:bottom w:w="80" w:type="dxa"/>
              <w:end w:w="90" w:type="dxa"/>
            </w:tcMar>
          </w:tcPr>
          <w:p>
            <w:r>
              <w:t>Side-by-side check of linear and logistic behavior in the same transformed space.</w:t>
            </w:r>
          </w:p>
        </w:tc>
      </w:tr>
      <w:tr>
        <w:tc>
          <w:tcPr>
            <w:tcW w:type="dxa" w:w="1728"/>
            <w:vAlign w:val="center"/>
            <w:tcMar>
              <w:top w:w="80" w:type="dxa"/>
              <w:start w:w="90" w:type="dxa"/>
              <w:bottom w:w="80" w:type="dxa"/>
              <w:end w:w="90" w:type="dxa"/>
            </w:tcMar>
          </w:tcPr>
          <w:p>
            <w:r>
              <w:t>Bundle REAL</w:t>
            </w:r>
          </w:p>
        </w:tc>
        <w:tc>
          <w:tcPr>
            <w:tcW w:type="dxa" w:w="2880"/>
            <w:vAlign w:val="center"/>
            <w:tcMar>
              <w:top w:w="80" w:type="dxa"/>
              <w:start w:w="90" w:type="dxa"/>
              <w:bottom w:w="80" w:type="dxa"/>
              <w:end w:w="90" w:type="dxa"/>
            </w:tcMar>
          </w:tcPr>
          <w:p>
            <w:r>
              <w:t>rho or sigma versus S</w:t>
            </w:r>
          </w:p>
        </w:tc>
        <w:tc>
          <w:tcPr>
            <w:tcW w:type="dxa" w:w="4320"/>
            <w:vAlign w:val="center"/>
            <w:tcMar>
              <w:top w:w="80" w:type="dxa"/>
              <w:start w:w="90" w:type="dxa"/>
              <w:bottom w:w="80" w:type="dxa"/>
              <w:end w:w="90" w:type="dxa"/>
            </w:tcMar>
          </w:tcPr>
          <w:p>
            <w:r>
              <w:t>Direct physical-space comparison of data, linear, polynomial, and logistic curves.</w:t>
            </w:r>
          </w:p>
        </w:tc>
      </w:tr>
      <w:tr>
        <w:tc>
          <w:tcPr>
            <w:tcW w:type="dxa" w:w="1728"/>
            <w:vAlign w:val="center"/>
            <w:tcMar>
              <w:top w:w="80" w:type="dxa"/>
              <w:start w:w="90" w:type="dxa"/>
              <w:bottom w:w="80" w:type="dxa"/>
              <w:end w:w="90" w:type="dxa"/>
            </w:tcMar>
          </w:tcPr>
          <w:p>
            <w:r>
              <w:t>Bundle LOGLOG</w:t>
            </w:r>
          </w:p>
        </w:tc>
        <w:tc>
          <w:tcPr>
            <w:tcW w:type="dxa" w:w="2880"/>
            <w:vAlign w:val="center"/>
            <w:tcMar>
              <w:top w:w="80" w:type="dxa"/>
              <w:start w:w="90" w:type="dxa"/>
              <w:bottom w:w="80" w:type="dxa"/>
              <w:end w:w="90" w:type="dxa"/>
            </w:tcMar>
          </w:tcPr>
          <w:p>
            <w:r>
              <w:t>logRho or logSig versus logS</w:t>
            </w:r>
          </w:p>
        </w:tc>
        <w:tc>
          <w:tcPr>
            <w:tcW w:type="dxa" w:w="4320"/>
            <w:vAlign w:val="center"/>
            <w:tcMar>
              <w:top w:w="80" w:type="dxa"/>
              <w:start w:w="90" w:type="dxa"/>
              <w:bottom w:w="80" w:type="dxa"/>
              <w:end w:w="90" w:type="dxa"/>
            </w:tcMar>
          </w:tcPr>
          <w:p>
            <w:r>
              <w:t>Expanded comparison in transformed space.</w:t>
            </w:r>
          </w:p>
        </w:tc>
      </w:tr>
    </w:tbl>
    <w:p/>
    <w:p>
      <w:r>
        <w:t>The real-space plots are often the easiest place to assess whether the logistic model captures the physical saturation trend. The legacy exponent plots, by contrast, are better for comparing slope-like behavior and maintaining continuity with earlier reporting styles.</w:t>
      </w:r>
    </w:p>
    <w:p>
      <w:pPr>
        <w:pStyle w:val="Heading1"/>
      </w:pPr>
      <w:r>
        <w:t>8. Output files</w:t>
      </w:r>
    </w:p>
    <w:tbl>
      <w:tblPr>
        <w:tblStyle w:val="TableGrid"/>
        <w:tblW w:type="auto" w:w="0"/>
        <w:jc w:val="center"/>
        <w:tblLook w:firstColumn="1" w:firstRow="1" w:lastColumn="0" w:lastRow="0" w:noHBand="0" w:noVBand="1" w:val="04A0"/>
      </w:tblPr>
      <w:tblGrid>
        <w:gridCol w:w="3264"/>
        <w:gridCol w:w="3264"/>
        <w:gridCol w:w="3264"/>
      </w:tblGrid>
      <w:tr>
        <w:tc>
          <w:tcPr>
            <w:tcW w:type="dxa" w:w="3600"/>
            <w:shd w:fill="D9EAF7"/>
            <w:vAlign w:val="center"/>
            <w:tcMar>
              <w:top w:w="80" w:type="dxa"/>
              <w:start w:w="90" w:type="dxa"/>
              <w:bottom w:w="80" w:type="dxa"/>
              <w:end w:w="90" w:type="dxa"/>
            </w:tcMar>
          </w:tcPr>
          <w:p>
            <w:r>
              <w:rPr>
                <w:b/>
              </w:rPr>
              <w:t>File pattern</w:t>
            </w:r>
          </w:p>
        </w:tc>
        <w:tc>
          <w:tcPr>
            <w:tcW w:type="dxa" w:w="2016"/>
            <w:shd w:fill="D9EAF7"/>
            <w:vAlign w:val="center"/>
            <w:tcMar>
              <w:top w:w="80" w:type="dxa"/>
              <w:start w:w="90" w:type="dxa"/>
              <w:bottom w:w="80" w:type="dxa"/>
              <w:end w:w="90" w:type="dxa"/>
            </w:tcMar>
          </w:tcPr>
          <w:p>
            <w:r>
              <w:rPr>
                <w:b/>
              </w:rPr>
              <w:t>Scope</w:t>
            </w:r>
          </w:p>
        </w:tc>
        <w:tc>
          <w:tcPr>
            <w:tcW w:type="dxa" w:w="3312"/>
            <w:shd w:fill="D9EAF7"/>
            <w:vAlign w:val="center"/>
            <w:tcMar>
              <w:top w:w="80" w:type="dxa"/>
              <w:start w:w="90" w:type="dxa"/>
              <w:bottom w:w="80" w:type="dxa"/>
              <w:end w:w="90" w:type="dxa"/>
            </w:tcMar>
          </w:tcPr>
          <w:p>
            <w:r>
              <w:rPr>
                <w:b/>
              </w:rPr>
              <w:t>Meaning</w:t>
            </w:r>
          </w:p>
        </w:tc>
      </w:tr>
      <w:tr>
        <w:tc>
          <w:tcPr>
            <w:tcW w:type="dxa" w:w="3600"/>
            <w:vAlign w:val="center"/>
            <w:tcMar>
              <w:top w:w="80" w:type="dxa"/>
              <w:start w:w="90" w:type="dxa"/>
              <w:bottom w:w="80" w:type="dxa"/>
              <w:end w:w="90" w:type="dxa"/>
            </w:tcMar>
          </w:tcPr>
          <w:p>
            <w:r>
              <w:t>debug_before_filter_&lt;tag&gt;Hz__&lt;mode&gt;.csv</w:t>
            </w:r>
          </w:p>
        </w:tc>
        <w:tc>
          <w:tcPr>
            <w:tcW w:type="dxa" w:w="2016"/>
            <w:vAlign w:val="center"/>
            <w:tcMar>
              <w:top w:w="80" w:type="dxa"/>
              <w:start w:w="90" w:type="dxa"/>
              <w:bottom w:w="80" w:type="dxa"/>
              <w:end w:w="90" w:type="dxa"/>
            </w:tcMar>
          </w:tcPr>
          <w:p>
            <w:r>
              <w:t>Per run, per mode</w:t>
            </w:r>
          </w:p>
        </w:tc>
        <w:tc>
          <w:tcPr>
            <w:tcW w:type="dxa" w:w="3312"/>
            <w:vAlign w:val="center"/>
            <w:tcMar>
              <w:top w:w="80" w:type="dxa"/>
              <w:start w:w="90" w:type="dxa"/>
              <w:bottom w:w="80" w:type="dxa"/>
              <w:end w:w="90" w:type="dxa"/>
            </w:tcMar>
          </w:tcPr>
          <w:p>
            <w:r>
              <w:t>Merged data before log-domain filtering.</w:t>
            </w:r>
          </w:p>
        </w:tc>
      </w:tr>
      <w:tr>
        <w:tc>
          <w:tcPr>
            <w:tcW w:type="dxa" w:w="3600"/>
            <w:vAlign w:val="center"/>
            <w:tcMar>
              <w:top w:w="80" w:type="dxa"/>
              <w:start w:w="90" w:type="dxa"/>
              <w:bottom w:w="80" w:type="dxa"/>
              <w:end w:w="90" w:type="dxa"/>
            </w:tcMar>
          </w:tcPr>
          <w:p>
            <w:r>
              <w:t>dropped_rows_&lt;tag&gt;Hz__&lt;mode&gt;.csv</w:t>
            </w:r>
          </w:p>
        </w:tc>
        <w:tc>
          <w:tcPr>
            <w:tcW w:type="dxa" w:w="2016"/>
            <w:vAlign w:val="center"/>
            <w:tcMar>
              <w:top w:w="80" w:type="dxa"/>
              <w:start w:w="90" w:type="dxa"/>
              <w:bottom w:w="80" w:type="dxa"/>
              <w:end w:w="90" w:type="dxa"/>
            </w:tcMar>
          </w:tcPr>
          <w:p>
            <w:r>
              <w:t>Per run, per mode</w:t>
            </w:r>
          </w:p>
        </w:tc>
        <w:tc>
          <w:tcPr>
            <w:tcW w:type="dxa" w:w="3312"/>
            <w:vAlign w:val="center"/>
            <w:tcMar>
              <w:top w:w="80" w:type="dxa"/>
              <w:start w:w="90" w:type="dxa"/>
              <w:bottom w:w="80" w:type="dxa"/>
              <w:end w:w="90" w:type="dxa"/>
            </w:tcMar>
          </w:tcPr>
          <w:p>
            <w:r>
              <w:t>Rows rejected because one or more logged quantities were invalid.</w:t>
            </w:r>
          </w:p>
        </w:tc>
      </w:tr>
      <w:tr>
        <w:tc>
          <w:tcPr>
            <w:tcW w:type="dxa" w:w="3600"/>
            <w:vAlign w:val="center"/>
            <w:tcMar>
              <w:top w:w="80" w:type="dxa"/>
              <w:start w:w="90" w:type="dxa"/>
              <w:bottom w:w="80" w:type="dxa"/>
              <w:end w:w="90" w:type="dxa"/>
            </w:tcMar>
          </w:tcPr>
          <w:p>
            <w:r>
              <w:t>joined__&lt;mode&gt;_&lt;tag&gt;Hz.csv</w:t>
            </w:r>
          </w:p>
        </w:tc>
        <w:tc>
          <w:tcPr>
            <w:tcW w:type="dxa" w:w="2016"/>
            <w:vAlign w:val="center"/>
            <w:tcMar>
              <w:top w:w="80" w:type="dxa"/>
              <w:start w:w="90" w:type="dxa"/>
              <w:bottom w:w="80" w:type="dxa"/>
              <w:end w:w="90" w:type="dxa"/>
            </w:tcMar>
          </w:tcPr>
          <w:p>
            <w:r>
              <w:t>Per run, per mode</w:t>
            </w:r>
          </w:p>
        </w:tc>
        <w:tc>
          <w:tcPr>
            <w:tcW w:type="dxa" w:w="3312"/>
            <w:vAlign w:val="center"/>
            <w:tcMar>
              <w:top w:w="80" w:type="dxa"/>
              <w:start w:w="90" w:type="dxa"/>
              <w:bottom w:w="80" w:type="dxa"/>
              <w:end w:w="90" w:type="dxa"/>
            </w:tcMar>
          </w:tcPr>
          <w:p>
            <w:r>
              <w:t>Main analysis table containing raw values, transformed values, and fitted curves.</w:t>
            </w:r>
          </w:p>
        </w:tc>
      </w:tr>
      <w:tr>
        <w:tc>
          <w:tcPr>
            <w:tcW w:type="dxa" w:w="3600"/>
            <w:vAlign w:val="center"/>
            <w:tcMar>
              <w:top w:w="80" w:type="dxa"/>
              <w:start w:w="90" w:type="dxa"/>
              <w:bottom w:w="80" w:type="dxa"/>
              <w:end w:w="90" w:type="dxa"/>
            </w:tcMar>
          </w:tcPr>
          <w:p>
            <w:r>
              <w:t>joined_&lt;tag&gt;Hz.csv</w:t>
            </w:r>
          </w:p>
        </w:tc>
        <w:tc>
          <w:tcPr>
            <w:tcW w:type="dxa" w:w="2016"/>
            <w:vAlign w:val="center"/>
            <w:tcMar>
              <w:top w:w="80" w:type="dxa"/>
              <w:start w:w="90" w:type="dxa"/>
              <w:bottom w:w="80" w:type="dxa"/>
              <w:end w:w="90" w:type="dxa"/>
            </w:tcMar>
          </w:tcPr>
          <w:p>
            <w:r>
              <w:t>Per run, normalized mode</w:t>
            </w:r>
          </w:p>
        </w:tc>
        <w:tc>
          <w:tcPr>
            <w:tcW w:type="dxa" w:w="3312"/>
            <w:vAlign w:val="center"/>
            <w:tcMar>
              <w:top w:w="80" w:type="dxa"/>
              <w:start w:w="90" w:type="dxa"/>
              <w:bottom w:w="80" w:type="dxa"/>
              <w:end w:w="90" w:type="dxa"/>
            </w:tcMar>
          </w:tcPr>
          <w:p>
            <w:r>
              <w:t>Legacy alias of the normalized joined file.</w:t>
            </w:r>
          </w:p>
        </w:tc>
      </w:tr>
      <w:tr>
        <w:tc>
          <w:tcPr>
            <w:tcW w:type="dxa" w:w="3600"/>
            <w:vAlign w:val="center"/>
            <w:tcMar>
              <w:top w:w="80" w:type="dxa"/>
              <w:start w:w="90" w:type="dxa"/>
              <w:bottom w:w="80" w:type="dxa"/>
              <w:end w:w="90" w:type="dxa"/>
            </w:tcMar>
          </w:tcPr>
          <w:p>
            <w:r>
              <w:t>Results_Summary_&lt;tag&gt;Hz.csv/.xlsx</w:t>
            </w:r>
          </w:p>
        </w:tc>
        <w:tc>
          <w:tcPr>
            <w:tcW w:type="dxa" w:w="2016"/>
            <w:vAlign w:val="center"/>
            <w:tcMar>
              <w:top w:w="80" w:type="dxa"/>
              <w:start w:w="90" w:type="dxa"/>
              <w:bottom w:w="80" w:type="dxa"/>
              <w:end w:w="90" w:type="dxa"/>
            </w:tcMar>
          </w:tcPr>
          <w:p>
            <w:r>
              <w:t>Campaign-wide</w:t>
            </w:r>
          </w:p>
        </w:tc>
        <w:tc>
          <w:tcPr>
            <w:tcW w:type="dxa" w:w="3312"/>
            <w:vAlign w:val="center"/>
            <w:tcMar>
              <w:top w:w="80" w:type="dxa"/>
              <w:start w:w="90" w:type="dxa"/>
              <w:bottom w:w="80" w:type="dxa"/>
              <w:end w:w="90" w:type="dxa"/>
            </w:tcMar>
          </w:tcPr>
          <w:p>
            <w:r>
              <w:t>One summary row per run and mode, including counts and logistic status fields.</w:t>
            </w:r>
          </w:p>
        </w:tc>
      </w:tr>
      <w:tr>
        <w:tc>
          <w:tcPr>
            <w:tcW w:type="dxa" w:w="3600"/>
            <w:vAlign w:val="center"/>
            <w:tcMar>
              <w:top w:w="80" w:type="dxa"/>
              <w:start w:w="90" w:type="dxa"/>
              <w:bottom w:w="80" w:type="dxa"/>
              <w:end w:w="90" w:type="dxa"/>
            </w:tcMar>
          </w:tcPr>
          <w:p>
            <w:r>
              <w:t>all_values_&lt;tag&gt;Hz.xlsx</w:t>
            </w:r>
          </w:p>
        </w:tc>
        <w:tc>
          <w:tcPr>
            <w:tcW w:type="dxa" w:w="2016"/>
            <w:vAlign w:val="center"/>
            <w:tcMar>
              <w:top w:w="80" w:type="dxa"/>
              <w:start w:w="90" w:type="dxa"/>
              <w:bottom w:w="80" w:type="dxa"/>
              <w:end w:w="90" w:type="dxa"/>
            </w:tcMar>
          </w:tcPr>
          <w:p>
            <w:r>
              <w:t>Per run and campaign-wide</w:t>
            </w:r>
          </w:p>
        </w:tc>
        <w:tc>
          <w:tcPr>
            <w:tcW w:type="dxa" w:w="3312"/>
            <w:vAlign w:val="center"/>
            <w:tcMar>
              <w:top w:w="80" w:type="dxa"/>
              <w:start w:w="90" w:type="dxa"/>
              <w:bottom w:w="80" w:type="dxa"/>
              <w:end w:w="90" w:type="dxa"/>
            </w:tcMar>
          </w:tcPr>
          <w:p>
            <w:r>
              <w:t>Complete accumulation of all rows with derived columns.</w:t>
            </w:r>
          </w:p>
        </w:tc>
      </w:tr>
    </w:tbl>
    <w:p/>
    <w:p>
      <w:pPr>
        <w:pStyle w:val="Heading1"/>
      </w:pPr>
      <w:r>
        <w:t>9. Command-line interface</w:t>
      </w:r>
    </w:p>
    <w:tbl>
      <w:tblPr>
        <w:tblStyle w:val="TableGrid"/>
        <w:tblW w:type="auto" w:w="0"/>
        <w:jc w:val="center"/>
        <w:tblLook w:firstColumn="1" w:firstRow="1" w:lastColumn="0" w:lastRow="0" w:noHBand="0" w:noVBand="1" w:val="04A0"/>
      </w:tblPr>
      <w:tblGrid>
        <w:gridCol w:w="4896"/>
        <w:gridCol w:w="4896"/>
      </w:tblGrid>
      <w:tr>
        <w:tc>
          <w:tcPr>
            <w:tcW w:type="dxa" w:w="2592"/>
            <w:shd w:fill="D9EAF7"/>
            <w:vAlign w:val="center"/>
            <w:tcMar>
              <w:top w:w="80" w:type="dxa"/>
              <w:start w:w="90" w:type="dxa"/>
              <w:bottom w:w="80" w:type="dxa"/>
              <w:end w:w="90" w:type="dxa"/>
            </w:tcMar>
          </w:tcPr>
          <w:p>
            <w:r>
              <w:rPr>
                <w:b/>
              </w:rPr>
              <w:t>Argument</w:t>
            </w:r>
          </w:p>
        </w:tc>
        <w:tc>
          <w:tcPr>
            <w:tcW w:type="dxa" w:w="6336"/>
            <w:shd w:fill="D9EAF7"/>
            <w:vAlign w:val="center"/>
            <w:tcMar>
              <w:top w:w="80" w:type="dxa"/>
              <w:start w:w="90" w:type="dxa"/>
              <w:bottom w:w="80" w:type="dxa"/>
              <w:end w:w="90" w:type="dxa"/>
            </w:tcMar>
          </w:tcPr>
          <w:p>
            <w:r>
              <w:rPr>
                <w:b/>
              </w:rPr>
              <w:t>Meaning</w:t>
            </w:r>
          </w:p>
        </w:tc>
      </w:tr>
      <w:tr>
        <w:tc>
          <w:tcPr>
            <w:tcW w:type="dxa" w:w="2592"/>
            <w:vAlign w:val="center"/>
            <w:tcMar>
              <w:top w:w="80" w:type="dxa"/>
              <w:start w:w="90" w:type="dxa"/>
              <w:bottom w:w="80" w:type="dxa"/>
              <w:end w:w="90" w:type="dxa"/>
            </w:tcMar>
          </w:tcPr>
          <w:p>
            <w:r>
              <w:t>top</w:t>
            </w:r>
          </w:p>
        </w:tc>
        <w:tc>
          <w:tcPr>
            <w:tcW w:type="dxa" w:w="6336"/>
            <w:vAlign w:val="center"/>
            <w:tcMar>
              <w:top w:w="80" w:type="dxa"/>
              <w:start w:w="90" w:type="dxa"/>
              <w:bottom w:w="80" w:type="dxa"/>
              <w:end w:w="90" w:type="dxa"/>
            </w:tcMar>
          </w:tcPr>
          <w:p>
            <w:r>
              <w:t>Top folder that contains run subfolders.</w:t>
            </w:r>
          </w:p>
        </w:tc>
      </w:tr>
      <w:tr>
        <w:tc>
          <w:tcPr>
            <w:tcW w:type="dxa" w:w="2592"/>
            <w:vAlign w:val="center"/>
            <w:tcMar>
              <w:top w:w="80" w:type="dxa"/>
              <w:start w:w="90" w:type="dxa"/>
              <w:bottom w:w="80" w:type="dxa"/>
              <w:end w:w="90" w:type="dxa"/>
            </w:tcMar>
          </w:tcPr>
          <w:p>
            <w:r>
              <w:t>--freq</w:t>
            </w:r>
          </w:p>
        </w:tc>
        <w:tc>
          <w:tcPr>
            <w:tcW w:type="dxa" w:w="6336"/>
            <w:vAlign w:val="center"/>
            <w:tcMar>
              <w:top w:w="80" w:type="dxa"/>
              <w:start w:w="90" w:type="dxa"/>
              <w:bottom w:w="80" w:type="dxa"/>
              <w:end w:w="90" w:type="dxa"/>
            </w:tcMar>
          </w:tcPr>
          <w:p>
            <w:r>
              <w:t>Target frequency used to choose one row from each SIP sheet.</w:t>
            </w:r>
          </w:p>
        </w:tc>
      </w:tr>
      <w:tr>
        <w:tc>
          <w:tcPr>
            <w:tcW w:type="dxa" w:w="2592"/>
            <w:vAlign w:val="center"/>
            <w:tcMar>
              <w:top w:w="80" w:type="dxa"/>
              <w:start w:w="90" w:type="dxa"/>
              <w:bottom w:w="80" w:type="dxa"/>
              <w:end w:w="90" w:type="dxa"/>
            </w:tcMar>
          </w:tcPr>
          <w:p>
            <w:r>
              <w:t>--sample</w:t>
            </w:r>
          </w:p>
        </w:tc>
        <w:tc>
          <w:tcPr>
            <w:tcW w:type="dxa" w:w="6336"/>
            <w:vAlign w:val="center"/>
            <w:tcMar>
              <w:top w:w="80" w:type="dxa"/>
              <w:start w:w="90" w:type="dxa"/>
              <w:bottom w:w="80" w:type="dxa"/>
              <w:end w:w="90" w:type="dxa"/>
            </w:tcMar>
          </w:tcPr>
          <w:p>
            <w:r>
              <w:t>Optional substring filter applied to SIP sheet names.</w:t>
            </w:r>
          </w:p>
        </w:tc>
      </w:tr>
      <w:tr>
        <w:tc>
          <w:tcPr>
            <w:tcW w:type="dxa" w:w="2592"/>
            <w:vAlign w:val="center"/>
            <w:tcMar>
              <w:top w:w="80" w:type="dxa"/>
              <w:start w:w="90" w:type="dxa"/>
              <w:bottom w:w="80" w:type="dxa"/>
              <w:end w:w="90" w:type="dxa"/>
            </w:tcMar>
          </w:tcPr>
          <w:p>
            <w:r>
              <w:t>--min-points</w:t>
            </w:r>
          </w:p>
        </w:tc>
        <w:tc>
          <w:tcPr>
            <w:tcW w:type="dxa" w:w="6336"/>
            <w:vAlign w:val="center"/>
            <w:tcMar>
              <w:top w:w="80" w:type="dxa"/>
              <w:start w:w="90" w:type="dxa"/>
              <w:bottom w:w="80" w:type="dxa"/>
              <w:end w:w="90" w:type="dxa"/>
            </w:tcMar>
          </w:tcPr>
          <w:p>
            <w:r>
              <w:t>Minimum valid matched points needed before a run is accepted.</w:t>
            </w:r>
          </w:p>
        </w:tc>
      </w:tr>
      <w:tr>
        <w:tc>
          <w:tcPr>
            <w:tcW w:type="dxa" w:w="2592"/>
            <w:vAlign w:val="center"/>
            <w:tcMar>
              <w:top w:w="80" w:type="dxa"/>
              <w:start w:w="90" w:type="dxa"/>
              <w:bottom w:w="80" w:type="dxa"/>
              <w:end w:w="90" w:type="dxa"/>
            </w:tcMar>
          </w:tcPr>
          <w:p>
            <w:r>
              <w:t>--max-df</w:t>
            </w:r>
          </w:p>
        </w:tc>
        <w:tc>
          <w:tcPr>
            <w:tcW w:type="dxa" w:w="6336"/>
            <w:vAlign w:val="center"/>
            <w:tcMar>
              <w:top w:w="80" w:type="dxa"/>
              <w:start w:w="90" w:type="dxa"/>
              <w:bottom w:w="80" w:type="dxa"/>
              <w:end w:w="90" w:type="dxa"/>
            </w:tcMar>
          </w:tcPr>
          <w:p>
            <w:r>
              <w:t>Optional maximum frequency mismatch; 0 disables this filter.</w:t>
            </w:r>
          </w:p>
        </w:tc>
      </w:tr>
      <w:tr>
        <w:tc>
          <w:tcPr>
            <w:tcW w:type="dxa" w:w="2592"/>
            <w:vAlign w:val="center"/>
            <w:tcMar>
              <w:top w:w="80" w:type="dxa"/>
              <w:start w:w="90" w:type="dxa"/>
              <w:bottom w:w="80" w:type="dxa"/>
              <w:end w:w="90" w:type="dxa"/>
            </w:tcMar>
          </w:tcPr>
          <w:p>
            <w:r>
              <w:t>--clean-results</w:t>
            </w:r>
          </w:p>
        </w:tc>
        <w:tc>
          <w:tcPr>
            <w:tcW w:type="dxa" w:w="6336"/>
            <w:vAlign w:val="center"/>
            <w:tcMar>
              <w:top w:w="80" w:type="dxa"/>
              <w:start w:w="90" w:type="dxa"/>
              <w:bottom w:w="80" w:type="dxa"/>
              <w:end w:w="90" w:type="dxa"/>
            </w:tcMar>
          </w:tcPr>
          <w:p>
            <w:r>
              <w:t>Back up Results/ before writing new outputs.</w:t>
            </w:r>
          </w:p>
        </w:tc>
      </w:tr>
      <w:tr>
        <w:tc>
          <w:tcPr>
            <w:tcW w:type="dxa" w:w="2592"/>
            <w:vAlign w:val="center"/>
            <w:tcMar>
              <w:top w:w="80" w:type="dxa"/>
              <w:start w:w="90" w:type="dxa"/>
              <w:bottom w:w="80" w:type="dxa"/>
              <w:end w:w="90" w:type="dxa"/>
            </w:tcMar>
          </w:tcPr>
          <w:p>
            <w:r>
              <w:t>--ici-mode</w:t>
            </w:r>
          </w:p>
        </w:tc>
        <w:tc>
          <w:tcPr>
            <w:tcW w:type="dxa" w:w="6336"/>
            <w:vAlign w:val="center"/>
            <w:tcMar>
              <w:top w:w="80" w:type="dxa"/>
              <w:start w:w="90" w:type="dxa"/>
              <w:bottom w:w="80" w:type="dxa"/>
              <w:end w:w="90" w:type="dxa"/>
            </w:tcMar>
          </w:tcPr>
          <w:p>
            <w:r>
              <w:t>Selects the sign convention for the normalized conductivity index.</w:t>
            </w:r>
          </w:p>
        </w:tc>
      </w:tr>
      <w:tr>
        <w:tc>
          <w:tcPr>
            <w:tcW w:type="dxa" w:w="2592"/>
            <w:vAlign w:val="center"/>
            <w:tcMar>
              <w:top w:w="80" w:type="dxa"/>
              <w:start w:w="90" w:type="dxa"/>
              <w:bottom w:w="80" w:type="dxa"/>
              <w:end w:w="90" w:type="dxa"/>
            </w:tcMar>
          </w:tcPr>
          <w:p>
            <w:r>
              <w:t>--poly-deg</w:t>
            </w:r>
          </w:p>
        </w:tc>
        <w:tc>
          <w:tcPr>
            <w:tcW w:type="dxa" w:w="6336"/>
            <w:vAlign w:val="center"/>
            <w:tcMar>
              <w:top w:w="80" w:type="dxa"/>
              <w:start w:w="90" w:type="dxa"/>
              <w:bottom w:w="80" w:type="dxa"/>
              <w:end w:w="90" w:type="dxa"/>
            </w:tcMar>
          </w:tcPr>
          <w:p>
            <w:r>
              <w:t>Polynomial degree; values &gt;= 2 activate polynomial bundle curves.</w:t>
            </w:r>
          </w:p>
        </w:tc>
      </w:tr>
      <w:tr>
        <w:tc>
          <w:tcPr>
            <w:tcW w:type="dxa" w:w="2592"/>
            <w:vAlign w:val="center"/>
            <w:tcMar>
              <w:top w:w="80" w:type="dxa"/>
              <w:start w:w="90" w:type="dxa"/>
              <w:bottom w:w="80" w:type="dxa"/>
              <w:end w:w="90" w:type="dxa"/>
            </w:tcMar>
          </w:tcPr>
          <w:p>
            <w:r>
              <w:t>--logistic-fast</w:t>
            </w:r>
          </w:p>
        </w:tc>
        <w:tc>
          <w:tcPr>
            <w:tcW w:type="dxa" w:w="6336"/>
            <w:vAlign w:val="center"/>
            <w:tcMar>
              <w:top w:w="80" w:type="dxa"/>
              <w:start w:w="90" w:type="dxa"/>
              <w:bottom w:w="80" w:type="dxa"/>
              <w:end w:w="90" w:type="dxa"/>
            </w:tcMar>
          </w:tcPr>
          <w:p>
            <w:r>
              <w:t>Enables the SciPy-free logistic search routine.</w:t>
            </w:r>
          </w:p>
        </w:tc>
      </w:tr>
      <w:tr>
        <w:tc>
          <w:tcPr>
            <w:tcW w:type="dxa" w:w="2592"/>
            <w:vAlign w:val="center"/>
            <w:tcMar>
              <w:top w:w="80" w:type="dxa"/>
              <w:start w:w="90" w:type="dxa"/>
              <w:bottom w:w="80" w:type="dxa"/>
              <w:end w:w="90" w:type="dxa"/>
            </w:tcMar>
          </w:tcPr>
          <w:p>
            <w:r>
              <w:t>--logistic-max-seconds</w:t>
            </w:r>
          </w:p>
        </w:tc>
        <w:tc>
          <w:tcPr>
            <w:tcW w:type="dxa" w:w="6336"/>
            <w:vAlign w:val="center"/>
            <w:tcMar>
              <w:top w:w="80" w:type="dxa"/>
              <w:start w:w="90" w:type="dxa"/>
              <w:bottom w:w="80" w:type="dxa"/>
              <w:end w:w="90" w:type="dxa"/>
            </w:tcMar>
          </w:tcPr>
          <w:p>
            <w:r>
              <w:t>Time limit per logistic fit.</w:t>
            </w:r>
          </w:p>
        </w:tc>
      </w:tr>
      <w:tr>
        <w:tc>
          <w:tcPr>
            <w:tcW w:type="dxa" w:w="2592"/>
            <w:vAlign w:val="center"/>
            <w:tcMar>
              <w:top w:w="80" w:type="dxa"/>
              <w:start w:w="90" w:type="dxa"/>
              <w:bottom w:w="80" w:type="dxa"/>
              <w:end w:w="90" w:type="dxa"/>
            </w:tcMar>
          </w:tcPr>
          <w:p>
            <w:r>
              <w:t>--logistic4</w:t>
            </w:r>
          </w:p>
        </w:tc>
        <w:tc>
          <w:tcPr>
            <w:tcW w:type="dxa" w:w="6336"/>
            <w:vAlign w:val="center"/>
            <w:tcMar>
              <w:top w:w="80" w:type="dxa"/>
              <w:start w:w="90" w:type="dxa"/>
              <w:bottom w:w="80" w:type="dxa"/>
              <w:end w:w="90" w:type="dxa"/>
            </w:tcMar>
          </w:tcPr>
          <w:p>
            <w:r>
              <w:t>Turns on four-parameter logistic fitting.</w:t>
            </w:r>
          </w:p>
        </w:tc>
      </w:tr>
      <w:tr>
        <w:tc>
          <w:tcPr>
            <w:tcW w:type="dxa" w:w="2592"/>
            <w:vAlign w:val="center"/>
            <w:tcMar>
              <w:top w:w="80" w:type="dxa"/>
              <w:start w:w="90" w:type="dxa"/>
              <w:bottom w:w="80" w:type="dxa"/>
              <w:end w:w="90" w:type="dxa"/>
            </w:tcMar>
          </w:tcPr>
          <w:p>
            <w:r>
              <w:t>--both-modes</w:t>
            </w:r>
          </w:p>
        </w:tc>
        <w:tc>
          <w:tcPr>
            <w:tcW w:type="dxa" w:w="6336"/>
            <w:vAlign w:val="center"/>
            <w:tcMar>
              <w:top w:w="80" w:type="dxa"/>
              <w:start w:w="90" w:type="dxa"/>
              <w:bottom w:w="80" w:type="dxa"/>
              <w:end w:w="90" w:type="dxa"/>
            </w:tcMar>
          </w:tcPr>
          <w:p>
            <w:r>
              <w:t>Processes normalized and unnormalized modes in one call.</w:t>
            </w:r>
          </w:p>
        </w:tc>
      </w:tr>
    </w:tbl>
    <w:p/>
    <w:p>
      <w:r>
        <w:rPr>
          <w:b/>
        </w:rPr>
        <w:t>Example command</w:t>
      </w:r>
    </w:p>
    <w:p>
      <w:pPr>
        <w:pStyle w:val="IntenseQuote"/>
      </w:pPr>
      <w:r>
        <w:t>python3 auto_sip_pipeline.py "/mnt/3rd900/Projects/LA Project new/For_LBNL/SIP" \</w:t>
        <w:br/>
        <w:t xml:space="preserve">  --freq 0.01 --min-points 4 \</w:t>
        <w:br/>
        <w:t xml:space="preserve">  --logistic-fast --logistic-max-seconds 8 \</w:t>
        <w:br/>
        <w:t xml:space="preserve">  --clean-results --both-modes \</w:t>
        <w:br/>
        <w:t xml:space="preserve">  --ici-mode sig_over_sigref \</w:t>
        <w:br/>
        <w:t xml:space="preserve">  --poly-deg 2 --poly-raw \</w:t>
        <w:br/>
        <w:t xml:space="preserve">  --logistic4</w:t>
      </w:r>
    </w:p>
    <w:p>
      <w:pPr>
        <w:pStyle w:val="Heading1"/>
      </w:pPr>
      <w:r>
        <w:t>10. Interpretation notes</w:t>
      </w:r>
    </w:p>
    <w:p>
      <w:r>
        <w:t>A good way to read the outputs is to separate physical interpretation from model bookkeeping. The linear and through-origin fits support exponent-style reporting and comparison with legacy workflows. The polynomial fit is a flexible diagnostic smoother. The logistic fit is the main nonlinear candidate for responses that show a rise-and-plateau pattern. The acceptance flag should therefore be read as a comparison result, not as a statement that the logistic curve failed to compute.</w:t>
      </w:r>
    </w:p>
    <w:p>
      <w:r>
        <w:t>When only four to six matched points are available, AIC can penalize the logistic model strongly because it carries four parameters. For that reason, the bundle plots and diagnostic plots remain important even when the formal acceptance flag says "rejected." The curve may still be physically informative.</w:t>
      </w:r>
    </w:p>
    <w:p>
      <w:pPr>
        <w:pStyle w:val="Heading1"/>
      </w:pPr>
      <w:r>
        <w:t>11. Short summary</w:t>
      </w:r>
    </w:p>
    <w:p>
      <w:r>
        <w:t>The pipeline is a robust batch-analysis tool for SIP column experiments. It combines workbook discovery, identifier matching, saturation reconstruction, log-domain and real-domain transforms, and four families of fit models into one repeatable workflow. Its outputs are suitable for debugging, method comparison, and direct scientific interpretation.</w:t>
      </w:r>
    </w:p>
    <w:sectPr w:rsidR="00FC693F" w:rsidRPr="0006063C" w:rsidSect="00034616">
      <w:footerReference w:type="default" r:id="rId9"/>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8"/>
      </w:rPr>
      <w:t xml:space="preserve">Pipeline documentation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193863"/>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2E5496"/>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w:hAnsi="Aptos"/>
      <w:b/>
      <w:color w:val="193863"/>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