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b/>
          <w:bCs/>
        </w:rPr>
        <w:t xml:space="preserve">Documentation for the SIP Processing Pipeline</w:t>
      </w:r>
      <w:r>
        <w:br/>
      </w:r>
      <w:r>
        <w:t xml:space="preserve">Batch extraction, saturation matching, regression analysis, and plot generation for SIP column experiments</w:t>
      </w:r>
    </w:p>
    <w:bookmarkStart w:id="20" w:name="purpose-and-operating-context"/>
    <w:p>
      <w:pPr>
        <w:pStyle w:val="Heading1"/>
      </w:pPr>
      <w:r>
        <w:t xml:space="preserve">Purpose and operating context</w:t>
      </w:r>
    </w:p>
    <w:p>
      <w:pPr>
        <w:pStyle w:val="FirstParagraph"/>
      </w:pPr>
      <w:r>
        <w:t xml:space="preserve">The pipeline automates a standard workflow for spectral induced polarization (SIP) column experiments. For each run folder it locates a processed SIP workbook in</w:t>
      </w:r>
      <w:r>
        <w:t xml:space="preserve"> </w:t>
      </w:r>
      <w:r>
        <w:rPr>
          <w:rStyle w:val="VerbatimChar"/>
        </w:rPr>
        <w:t xml:space="preserve">Analysis/</w:t>
      </w:r>
      <w:r>
        <w:t xml:space="preserve">, a laboratory logbook workbook in</w:t>
      </w:r>
      <w:r>
        <w:t xml:space="preserve"> </w:t>
      </w:r>
      <w:r>
        <w:rPr>
          <w:rStyle w:val="VerbatimChar"/>
        </w:rPr>
        <w:t xml:space="preserve">SIP_Raw_Data/</w:t>
      </w:r>
      <w:r>
        <w:t xml:space="preserve">, extracts the row nearest a target frequency from each SIP sheet, matches those measurements to saturation information from the logbook, computes derived variables in both real and logarithmic spaces, fits multiple candidate models, and writes both tables and report-style plots.</w:t>
      </w:r>
    </w:p>
    <w:p>
      <w:pPr>
        <w:pStyle w:val="BodyText"/>
      </w:pPr>
      <w:r>
        <w:t xml:space="preserve">The same run can be processed in normalized and unnormalized modes. The overall design therefore supports both scientific interpretation and regression testing across many specimens. In the current version, Excel outputs also include an equations worksheet, plot equations can be turned on explicitly, and backup folders can be purged when a cleaner run directory is preferred.</w:t>
      </w:r>
    </w:p>
    <w:bookmarkEnd w:id="20"/>
    <w:bookmarkStart w:id="21" w:name="expected-directory-structure"/>
    <w:p>
      <w:pPr>
        <w:pStyle w:val="Heading1"/>
      </w:pPr>
      <w:r>
        <w:t xml:space="preserve">Expected directory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Location</w:t>
            </w:r>
          </w:p>
        </w:tc>
        <w:tc>
          <w:tcPr/>
          <w:p>
            <w:pPr>
              <w:pStyle w:val="Compact"/>
              <w:jc w:val="left"/>
            </w:pPr>
            <w:r>
              <w:rPr>
                <w:b/>
                <w:bCs/>
              </w:rPr>
              <w:t xml:space="preserve">Expected content</w:t>
            </w:r>
          </w:p>
        </w:tc>
        <w:tc>
          <w:tcPr/>
          <w:p>
            <w:pPr>
              <w:pStyle w:val="Compact"/>
              <w:jc w:val="left"/>
            </w:pPr>
            <w:r>
              <w:rPr>
                <w:b/>
                <w:bCs/>
              </w:rPr>
              <w:t xml:space="preserve">Role in pipeline</w:t>
            </w:r>
          </w:p>
        </w:tc>
      </w:tr>
      <w:tr>
        <w:tc>
          <w:tcPr/>
          <w:p>
            <w:pPr>
              <w:pStyle w:val="Compact"/>
              <w:jc w:val="left"/>
            </w:pPr>
            <w:r>
              <w:rPr>
                <w:rStyle w:val="VerbatimChar"/>
              </w:rPr>
              <w:t xml:space="preserve">Analysis/</w:t>
            </w:r>
          </w:p>
        </w:tc>
        <w:tc>
          <w:tcPr/>
          <w:p>
            <w:pPr>
              <w:pStyle w:val="Compact"/>
              <w:jc w:val="left"/>
            </w:pPr>
            <w:r>
              <w:t xml:space="preserve">Processed SIP output workbook</w:t>
            </w:r>
          </w:p>
        </w:tc>
        <w:tc>
          <w:tcPr/>
          <w:p>
            <w:pPr>
              <w:pStyle w:val="Compact"/>
              <w:jc w:val="left"/>
            </w:pPr>
            <w:r>
              <w:t xml:space="preserve">Each sheet is treated as one measurement ID; one row is extracted at the requested frequency.</w:t>
            </w:r>
          </w:p>
        </w:tc>
      </w:tr>
      <w:tr>
        <w:tc>
          <w:tcPr/>
          <w:p>
            <w:pPr>
              <w:pStyle w:val="Compact"/>
              <w:jc w:val="left"/>
            </w:pPr>
            <w:r>
              <w:rPr>
                <w:rStyle w:val="VerbatimChar"/>
              </w:rPr>
              <w:t xml:space="preserve">SIP_Raw_Data/</w:t>
            </w:r>
          </w:p>
        </w:tc>
        <w:tc>
          <w:tcPr/>
          <w:p>
            <w:pPr>
              <w:pStyle w:val="Compact"/>
              <w:jc w:val="left"/>
            </w:pPr>
            <w:r>
              <w:t xml:space="preserve">Logbook workbook</w:t>
            </w:r>
          </w:p>
        </w:tc>
        <w:tc>
          <w:tcPr/>
          <w:p>
            <w:pPr>
              <w:pStyle w:val="Compact"/>
              <w:jc w:val="left"/>
            </w:pPr>
            <w:r>
              <w:t xml:space="preserve">Provides degree of saturation directly, or enough inputs to derive it.</w:t>
            </w:r>
          </w:p>
        </w:tc>
      </w:tr>
      <w:tr>
        <w:tc>
          <w:tcPr/>
          <w:p>
            <w:pPr>
              <w:pStyle w:val="Compact"/>
              <w:jc w:val="left"/>
            </w:pPr>
            <w:r>
              <w:rPr>
                <w:rStyle w:val="VerbatimChar"/>
              </w:rPr>
              <w:t xml:space="preserve">Results/</w:t>
            </w:r>
          </w:p>
        </w:tc>
        <w:tc>
          <w:tcPr/>
          <w:p>
            <w:pPr>
              <w:pStyle w:val="Compact"/>
              <w:jc w:val="left"/>
            </w:pPr>
            <w:r>
              <w:t xml:space="preserve">Output folder</w:t>
            </w:r>
          </w:p>
        </w:tc>
        <w:tc>
          <w:tcPr/>
          <w:p>
            <w:pPr>
              <w:pStyle w:val="Compact"/>
              <w:jc w:val="left"/>
            </w:pPr>
            <w:r>
              <w:t xml:space="preserve">Receives debug tables, joined data tables, plots, and per-run Excel summaries.</w:t>
            </w:r>
          </w:p>
        </w:tc>
      </w:tr>
    </w:tbl>
    <w:bookmarkEnd w:id="21"/>
    <w:bookmarkStart w:id="22" w:name="high-level-workflow"/>
    <w:p>
      <w:pPr>
        <w:pStyle w:val="Heading1"/>
      </w:pPr>
      <w:r>
        <w:t xml:space="preserve">High-level workflow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Action</w:t>
            </w:r>
          </w:p>
        </w:tc>
        <w:tc>
          <w:tcPr/>
          <w:p>
            <w:pPr>
              <w:pStyle w:val="Compact"/>
              <w:jc w:val="left"/>
            </w:pPr>
            <w:r>
              <w:rPr>
                <w:b/>
                <w:bCs/>
              </w:rPr>
              <w:t xml:space="preserve">Main outputs</w:t>
            </w:r>
          </w:p>
        </w:tc>
      </w:tr>
      <w:tr>
        <w:tc>
          <w:tcPr/>
          <w:p>
            <w:pPr>
              <w:pStyle w:val="Compact"/>
              <w:jc w:val="left"/>
            </w:pPr>
            <w:r>
              <w:t xml:space="preserve">1</w:t>
            </w:r>
          </w:p>
        </w:tc>
        <w:tc>
          <w:tcPr/>
          <w:p>
            <w:pPr>
              <w:pStyle w:val="Compact"/>
              <w:jc w:val="left"/>
            </w:pPr>
            <w:r>
              <w:t xml:space="preserve">Discover run folders that contain both</w:t>
            </w:r>
            <w:r>
              <w:t xml:space="preserve"> </w:t>
            </w:r>
            <w:r>
              <w:rPr>
                <w:rStyle w:val="VerbatimChar"/>
              </w:rPr>
              <w:t xml:space="preserve">Analysis/</w:t>
            </w:r>
            <w:r>
              <w:t xml:space="preserve"> </w:t>
            </w:r>
            <w:r>
              <w:t xml:space="preserve">and</w:t>
            </w:r>
            <w:r>
              <w:t xml:space="preserve"> </w:t>
            </w:r>
            <w:r>
              <w:rPr>
                <w:rStyle w:val="VerbatimChar"/>
              </w:rPr>
              <w:t xml:space="preserve">SIP_Raw_Data/</w:t>
            </w:r>
            <w:r>
              <w:t xml:space="preserve">.</w:t>
            </w:r>
          </w:p>
        </w:tc>
        <w:tc>
          <w:tcPr/>
          <w:p>
            <w:pPr>
              <w:pStyle w:val="Compact"/>
              <w:jc w:val="left"/>
            </w:pPr>
            <w:r>
              <w:t xml:space="preserve">List of valid run roots</w:t>
            </w:r>
          </w:p>
        </w:tc>
      </w:tr>
      <w:tr>
        <w:tc>
          <w:tcPr/>
          <w:p>
            <w:pPr>
              <w:pStyle w:val="Compact"/>
              <w:jc w:val="left"/>
            </w:pPr>
            <w:r>
              <w:t xml:space="preserve">2</w:t>
            </w:r>
          </w:p>
        </w:tc>
        <w:tc>
          <w:tcPr/>
          <w:p>
            <w:pPr>
              <w:pStyle w:val="Compact"/>
              <w:jc w:val="left"/>
            </w:pPr>
            <w:r>
              <w:t xml:space="preserve">Locate the SIP workbook and logbook workbook.</w:t>
            </w:r>
          </w:p>
        </w:tc>
        <w:tc>
          <w:tcPr/>
          <w:p>
            <w:pPr>
              <w:pStyle w:val="Compact"/>
              <w:jc w:val="left"/>
            </w:pPr>
            <w:r>
              <w:t xml:space="preserve">Input file paths</w:t>
            </w:r>
          </w:p>
        </w:tc>
      </w:tr>
      <w:tr>
        <w:tc>
          <w:tcPr/>
          <w:p>
            <w:pPr>
              <w:pStyle w:val="Compact"/>
              <w:jc w:val="left"/>
            </w:pPr>
            <w:r>
              <w:t xml:space="preserve">3</w:t>
            </w:r>
          </w:p>
        </w:tc>
        <w:tc>
          <w:tcPr/>
          <w:p>
            <w:pPr>
              <w:pStyle w:val="Compact"/>
              <w:jc w:val="left"/>
            </w:pPr>
            <w:r>
              <w:t xml:space="preserve">Read each SIP sheet and extract the row nearest the target frequency.</w:t>
            </w:r>
          </w:p>
        </w:tc>
        <w:tc>
          <w:tcPr/>
          <w:p>
            <w:pPr>
              <w:pStyle w:val="Compact"/>
              <w:jc w:val="left"/>
            </w:pPr>
            <w:r>
              <w:rPr>
                <w:rStyle w:val="VerbatimChar"/>
              </w:rPr>
              <w:t xml:space="preserve">measurement</w:t>
            </w:r>
            <w:r>
              <w:t xml:space="preserve">,</w:t>
            </w:r>
            <w:r>
              <w:t xml:space="preserve"> </w:t>
            </w:r>
            <w:r>
              <w:rPr>
                <w:rStyle w:val="VerbatimChar"/>
              </w:rPr>
              <w:t xml:space="preserve">rho</w:t>
            </w:r>
            <w:r>
              <w:t xml:space="preserve">,</w:t>
            </w:r>
            <w:r>
              <w:t xml:space="preserve"> </w:t>
            </w:r>
            <w:r>
              <w:rPr>
                <w:rStyle w:val="VerbatimChar"/>
              </w:rPr>
              <w:t xml:space="preserve">sigma_imag</w:t>
            </w:r>
            <w:r>
              <w:t xml:space="preserve">,</w:t>
            </w:r>
            <w:r>
              <w:t xml:space="preserve"> </w:t>
            </w:r>
            <w:r>
              <w:rPr>
                <w:rStyle w:val="VerbatimChar"/>
              </w:rPr>
              <w:t xml:space="preserve">freq_hz</w:t>
            </w:r>
          </w:p>
        </w:tc>
      </w:tr>
      <w:tr>
        <w:tc>
          <w:tcPr/>
          <w:p>
            <w:pPr>
              <w:pStyle w:val="Compact"/>
              <w:jc w:val="left"/>
            </w:pPr>
            <w:r>
              <w:t xml:space="preserve">4</w:t>
            </w:r>
          </w:p>
        </w:tc>
        <w:tc>
          <w:tcPr/>
          <w:p>
            <w:pPr>
              <w:pStyle w:val="Compact"/>
              <w:jc w:val="left"/>
            </w:pPr>
            <w:r>
              <w:t xml:space="preserve">Select the best logbook block by maximizing overlap with SIP measurement IDs.</w:t>
            </w:r>
          </w:p>
        </w:tc>
        <w:tc>
          <w:tcPr/>
          <w:p>
            <w:pPr>
              <w:pStyle w:val="Compact"/>
              <w:jc w:val="left"/>
            </w:pPr>
            <w:r>
              <w:t xml:space="preserve">Saturation map and logbook metadata</w:t>
            </w:r>
          </w:p>
        </w:tc>
      </w:tr>
      <w:tr>
        <w:tc>
          <w:tcPr/>
          <w:p>
            <w:pPr>
              <w:pStyle w:val="Compact"/>
              <w:jc w:val="left"/>
            </w:pPr>
            <w:r>
              <w:t xml:space="preserve">5</w:t>
            </w:r>
          </w:p>
        </w:tc>
        <w:tc>
          <w:tcPr/>
          <w:p>
            <w:pPr>
              <w:pStyle w:val="Compact"/>
              <w:jc w:val="left"/>
            </w:pPr>
            <w:r>
              <w:t xml:space="preserve">Merge saturation with SIP responses and compute logs, indices, and targets.</w:t>
            </w:r>
          </w:p>
        </w:tc>
        <w:tc>
          <w:tcPr/>
          <w:p>
            <w:pPr>
              <w:pStyle w:val="Compact"/>
              <w:jc w:val="left"/>
            </w:pPr>
            <w:r>
              <w:t xml:space="preserve">Joined table with derived columns</w:t>
            </w:r>
          </w:p>
        </w:tc>
      </w:tr>
      <w:tr>
        <w:tc>
          <w:tcPr/>
          <w:p>
            <w:pPr>
              <w:pStyle w:val="Compact"/>
              <w:jc w:val="left"/>
            </w:pPr>
            <w:r>
              <w:t xml:space="preserve">6</w:t>
            </w:r>
          </w:p>
        </w:tc>
        <w:tc>
          <w:tcPr/>
          <w:p>
            <w:pPr>
              <w:pStyle w:val="Compact"/>
              <w:jc w:val="left"/>
            </w:pPr>
            <w:r>
              <w:t xml:space="preserve">Fit linear, through-origin, polynomial, and logistic models.</w:t>
            </w:r>
          </w:p>
        </w:tc>
        <w:tc>
          <w:tcPr/>
          <w:p>
            <w:pPr>
              <w:pStyle w:val="Compact"/>
              <w:jc w:val="left"/>
            </w:pPr>
            <w:r>
              <w:t xml:space="preserve">Fit coefficients,</w:t>
            </w:r>
            <w:r>
              <w:t xml:space="preserve"> </w:t>
            </w:r>
            <m:oMath>
              <m:sSup>
                <m:e>
                  <m:r>
                    <m:t>R</m:t>
                  </m:r>
                </m:e>
                <m:sup>
                  <m:r>
                    <m:t>2</m:t>
                  </m:r>
                </m:sup>
              </m:sSup>
            </m:oMath>
            <w:r>
              <w:t xml:space="preserve">, SSE, AIC, p-values</w:t>
            </w:r>
          </w:p>
        </w:tc>
      </w:tr>
      <w:tr>
        <w:tc>
          <w:tcPr/>
          <w:p>
            <w:pPr>
              <w:pStyle w:val="Compact"/>
              <w:jc w:val="left"/>
            </w:pPr>
            <w:r>
              <w:t xml:space="preserve">7</w:t>
            </w:r>
          </w:p>
        </w:tc>
        <w:tc>
          <w:tcPr/>
          <w:p>
            <w:pPr>
              <w:pStyle w:val="Compact"/>
              <w:jc w:val="left"/>
            </w:pPr>
            <w:r>
              <w:t xml:space="preserve">Write plots, run-level Excel files, and campaign-level summary files.</w:t>
            </w:r>
          </w:p>
        </w:tc>
        <w:tc>
          <w:tcPr/>
          <w:p>
            <w:pPr>
              <w:pStyle w:val="Compact"/>
              <w:jc w:val="left"/>
            </w:pPr>
            <w:r>
              <w:t xml:space="preserve">PNG, CSV, XLSX outputs</w:t>
            </w:r>
          </w:p>
        </w:tc>
      </w:tr>
      <w:tr>
        <w:tc>
          <w:tcPr/>
          <w:p>
            <w:pPr>
              <w:pStyle w:val="Compact"/>
              <w:jc w:val="left"/>
            </w:pPr>
            <w:r>
              <w:t xml:space="preserve">8</w:t>
            </w:r>
          </w:p>
        </w:tc>
        <w:tc>
          <w:tcPr/>
          <w:p>
            <w:pPr>
              <w:pStyle w:val="Compact"/>
              <w:jc w:val="left"/>
            </w:pPr>
            <w:r>
              <w:t xml:space="preserve">Optionally annotate plots with equations and optionally remove old backup folders.</w:t>
            </w:r>
          </w:p>
        </w:tc>
        <w:tc>
          <w:tcPr/>
          <w:p>
            <w:pPr>
              <w:pStyle w:val="Compact"/>
              <w:jc w:val="left"/>
            </w:pPr>
            <w:r>
              <w:t xml:space="preserve">Equation labels and cleaned backup folders</w:t>
            </w:r>
          </w:p>
        </w:tc>
      </w:tr>
    </w:tbl>
    <w:bookmarkEnd w:id="22"/>
    <w:bookmarkStart w:id="23" w:name="input-variables-and-matching-logic"/>
    <w:p>
      <w:pPr>
        <w:pStyle w:val="Heading1"/>
      </w:pPr>
      <w:r>
        <w:t xml:space="preserve">Input variables and matching logic</w:t>
      </w:r>
    </w:p>
    <w:p>
      <w:pPr>
        <w:pStyle w:val="FirstParagraph"/>
      </w:pPr>
      <w:r>
        <w:t xml:space="preserve">Each sheet in the SIP workbook is interpreted as a measurement. The measurement identifier is the sheet name after normalization (case folding and removal of spaces, dashes, and underscores). In the logbook, the code searches for the measurement-ID column and then selects the contiguous block that maximizes overlap with the set of SIP identifiers. This avoids accidental matching to header rows, blank regions, or unrelated blocks in a long workbook.</w:t>
      </w:r>
    </w:p>
    <w:p>
      <w:pPr>
        <w:pStyle w:val="BodyText"/>
      </w:pPr>
      <w:r>
        <w:t xml:space="preserve">Saturation may enter the pipeline through either of two routes:</w:t>
      </w:r>
    </w:p>
    <w:p>
      <w:pPr>
        <w:numPr>
          <w:ilvl w:val="0"/>
          <w:numId w:val="1001"/>
        </w:numPr>
      </w:pPr>
      <w:r>
        <w:t xml:space="preserve">Direct route: a saturation column already exists in the logbook.</w:t>
      </w:r>
    </w:p>
    <w:p>
      <w:pPr>
        <w:numPr>
          <w:ilvl w:val="0"/>
          <w:numId w:val="1001"/>
        </w:numPr>
      </w:pPr>
      <w:r>
        <w:t xml:space="preserve">Derived route: saturation is computed from water mass, porosity, and column volume.</w:t>
      </w:r>
    </w:p>
    <w:bookmarkEnd w:id="23"/>
    <w:bookmarkStart w:id="28" w:name="core-formulas"/>
    <w:p>
      <w:pPr>
        <w:pStyle w:val="Heading1"/>
      </w:pPr>
      <w:r>
        <w:t xml:space="preserve">Core formulas</w:t>
      </w:r>
    </w:p>
    <w:p>
      <w:pPr>
        <w:pStyle w:val="FirstParagraph"/>
      </w:pPr>
      <w:r>
        <w:t xml:space="preserve">This section expands the formulas used by the script. The pipeline combines direct physical quantities, logarithmic transforms, normalized indices, and regression models. All formulas below correspond directly to columns or fitted curves written by the code.</w:t>
      </w:r>
    </w:p>
    <w:bookmarkStart w:id="24" w:name="saturation"/>
    <w:p>
      <w:pPr>
        <w:pStyle w:val="Heading2"/>
      </w:pPr>
      <w:r>
        <w:t xml:space="preserve">Saturation</w:t>
      </w:r>
    </w:p>
    <w:p>
      <w:pPr>
        <w:pStyle w:val="FirstParagraph"/>
      </w:pPr>
      <w:r>
        <w:t xml:space="preserve">Direct saturation is simply the value read from the logbook. If the logbook stores percent values such as 40 or 85, the script converts them to fractions by dividing by 100.</w:t>
      </w:r>
    </w:p>
    <w:p>
      <w:pPr>
        <w:pStyle w:val="BodyText"/>
      </w:pPr>
      <m:oMathPara>
        <m:oMathParaPr>
          <m:jc m:val="center"/>
        </m:oMathParaPr>
        <m:oMath>
          <m:r>
            <m:t>S</m:t>
          </m:r>
          <m:r>
            <m:rPr>
              <m:sty m:val="p"/>
            </m:rPr>
            <m:t>=</m:t>
          </m:r>
          <m:r>
            <m:rPr>
              <m:nor/>
              <m:sty m:val="p"/>
            </m:rPr>
            <m:t>value read from the logbook</m:t>
          </m:r>
        </m:oMath>
      </m:oMathPara>
    </w:p>
    <w:p>
      <w:pPr>
        <w:pStyle w:val="FirstParagraph"/>
      </w:pPr>
      <w:r>
        <w:t xml:space="preserve">When saturation is derived from mass and geometry, the code uses</w:t>
      </w:r>
    </w:p>
    <w:p>
      <w:pPr>
        <w:pStyle w:val="BodyText"/>
      </w:pPr>
      <m:oMathPara>
        <m:oMathParaPr>
          <m:jc m:val="center"/>
        </m:oMathParaPr>
        <m:oMath>
          <m:r>
            <m:t>S</m:t>
          </m:r>
          <m:r>
            <m:rPr>
              <m:sty m:val="p"/>
            </m:rPr>
            <m:t>=</m:t>
          </m:r>
          <m:f>
            <m:fPr>
              <m:type m:val="bar"/>
            </m:fPr>
            <m:num>
              <m:sSub>
                <m:e>
                  <m:r>
                    <m:t>M</m:t>
                  </m:r>
                </m:e>
                <m:sub>
                  <m:r>
                    <m:t>w</m:t>
                  </m:r>
                </m:sub>
              </m:sSub>
            </m:num>
            <m:den>
              <m:sSub>
                <m:e>
                  <m:r>
                    <m:t>ρ</m:t>
                  </m:r>
                </m:e>
                <m:sub>
                  <m:r>
                    <m:t>w</m:t>
                  </m:r>
                </m:sub>
              </m:sSub>
              <m:r>
                <m:t> </m:t>
              </m:r>
              <m:r>
                <m:t>ϕ</m:t>
              </m:r>
              <m:r>
                <m:t> </m:t>
              </m:r>
              <m:r>
                <m:t>V</m:t>
              </m:r>
            </m:den>
          </m:f>
          <m:r>
            <m:rPr>
              <m:sty m:val="p"/>
            </m:rPr>
            <m:t>,</m:t>
          </m:r>
        </m:oMath>
      </m:oMathPara>
    </w:p>
    <w:p>
      <w:pPr>
        <w:pStyle w:val="FirstParagraph"/>
      </w:pPr>
      <w:r>
        <w:t xml:space="preserve">where</w:t>
      </w:r>
      <w:r>
        <w:t xml:space="preserve"> </w:t>
      </w:r>
      <m:oMath>
        <m:sSub>
          <m:e>
            <m:r>
              <m:t>M</m:t>
            </m:r>
          </m:e>
          <m:sub>
            <m:r>
              <m:t>w</m:t>
            </m:r>
          </m:sub>
        </m:sSub>
      </m:oMath>
      <w:r>
        <w:t xml:space="preserve"> </w:t>
      </w:r>
      <w:r>
        <w:t xml:space="preserve">is water mass in kilograms,</w:t>
      </w:r>
      <w:r>
        <w:t xml:space="preserve"> </w:t>
      </w:r>
      <m:oMath>
        <m:sSub>
          <m:e>
            <m:r>
              <m:t>ρ</m:t>
            </m:r>
          </m:e>
          <m:sub>
            <m:r>
              <m:t>w</m:t>
            </m:r>
          </m:sub>
        </m:sSub>
      </m:oMath>
      <w:r>
        <w:t xml:space="preserve"> </w:t>
      </w:r>
      <w:r>
        <w:t xml:space="preserve">is water density (taken as</w:t>
      </w:r>
      <w:r>
        <w:t xml:space="preserve"> </w:t>
      </w:r>
      <m:oMath>
        <m:r>
          <m:t>1000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ϕ</m:t>
        </m:r>
      </m:oMath>
      <w:r>
        <w:t xml:space="preserve"> </w:t>
      </w:r>
      <w:r>
        <w:t xml:space="preserve">is porosity, and</w:t>
      </w:r>
      <w:r>
        <w:t xml:space="preserve"> </w:t>
      </w:r>
      <m:oMath>
        <m:r>
          <m:t>V</m:t>
        </m:r>
      </m:oMath>
      <w:r>
        <w:t xml:space="preserve"> </w:t>
      </w:r>
      <w:r>
        <w:t xml:space="preserve">is column volume in</w:t>
      </w:r>
      <w:r>
        <w:t xml:space="preserve"> </w:t>
      </w:r>
      <m:oMath>
        <m:sSup>
          <m:e>
            <m:r>
              <m:rPr>
                <m:sty m:val="p"/>
              </m:rPr>
              <m:t>m</m:t>
            </m:r>
          </m:e>
          <m:sup>
            <m:r>
              <m:rPr>
                <m:sty m:val="p"/>
              </m:rPr>
              <m:t>3</m:t>
            </m:r>
          </m:sup>
        </m:sSup>
      </m:oMath>
      <w:r>
        <w:t xml:space="preserve">.</w:t>
      </w:r>
    </w:p>
    <w:bookmarkEnd w:id="24"/>
    <w:bookmarkStart w:id="25" w:name="log-domain-variables"/>
    <w:p>
      <w:pPr>
        <w:pStyle w:val="Heading2"/>
      </w:pPr>
      <w:r>
        <w:t xml:space="preserve">Log-domain variables</w:t>
      </w:r>
    </w:p>
    <w:p>
      <w:pPr>
        <w:pStyle w:val="FirstParagraph"/>
      </w:pPr>
      <w:r>
        <w:t xml:space="preserve">The main log-domain variables are</w:t>
      </w:r>
    </w:p>
    <w:p>
      <w:pPr>
        <w:pStyle w:val="BodyText"/>
      </w:pPr>
      <m:oMathPara>
        <m:oMathParaPr>
          <m:jc m:val="center"/>
        </m:oMathParaPr>
        <m:oMath>
          <m:r>
            <m:rPr>
              <m:sty m:val="p"/>
            </m:rPr>
            <m:t>log</m:t>
          </m:r>
          <m:r>
            <m:t>S</m:t>
          </m:r>
          <m:r>
            <m:rPr>
              <m:sty m:val="p"/>
            </m:rPr>
            <m:t>=</m:t>
          </m:r>
          <m:sSub>
            <m:e>
              <m:r>
                <m:rPr>
                  <m:sty m:val="p"/>
                </m:rPr>
                <m:t>log</m:t>
              </m:r>
            </m:e>
            <m:sub>
              <m:r>
                <m:t>10</m:t>
              </m:r>
            </m:sub>
          </m:sSub>
          <m:d>
            <m:dPr>
              <m:begChr m:val="("/>
              <m:endChr m:val=")"/>
              <m:sepChr m:val=""/>
              <m:grow/>
            </m:dPr>
            <m:e>
              <m:r>
                <m:t>S</m:t>
              </m:r>
            </m:e>
          </m:d>
          <m:r>
            <m:rPr>
              <m:sty m:val="p"/>
            </m:rPr>
            <m:t>,</m:t>
          </m:r>
          <m:r>
            <m:t>  </m:t>
          </m:r>
          <m:r>
            <m:rPr>
              <m:sty m:val="p"/>
            </m:rPr>
            <m:t>log</m:t>
          </m:r>
          <m:r>
            <m:t>ρ</m:t>
          </m:r>
          <m:r>
            <m:rPr>
              <m:sty m:val="p"/>
            </m:rPr>
            <m:t>=</m:t>
          </m:r>
          <m:sSub>
            <m:e>
              <m:r>
                <m:rPr>
                  <m:sty m:val="p"/>
                </m:rPr>
                <m:t>log</m:t>
              </m:r>
            </m:e>
            <m:sub>
              <m:r>
                <m:t>10</m:t>
              </m:r>
            </m:sub>
          </m:sSub>
          <m:d>
            <m:dPr>
              <m:begChr m:val="("/>
              <m:endChr m:val=")"/>
              <m:sepChr m:val=""/>
              <m:grow/>
            </m:dPr>
            <m:e>
              <m:r>
                <m:t>ρ</m:t>
              </m:r>
            </m:e>
          </m:d>
          <m:r>
            <m:rPr>
              <m:sty m:val="p"/>
            </m:rPr>
            <m:t>,</m:t>
          </m:r>
          <m:r>
            <m:t>  </m:t>
          </m:r>
          <m:r>
            <m:rPr>
              <m:sty m:val="p"/>
            </m:rPr>
            <m:t>log</m:t>
          </m:r>
          <m:r>
            <m:t>σ</m:t>
          </m:r>
          <m:r>
            <m:rPr>
              <m:sty m:val="p"/>
            </m:rPr>
            <m:t>=</m:t>
          </m:r>
          <m:sSub>
            <m:e>
              <m:r>
                <m:rPr>
                  <m:sty m:val="p"/>
                </m:rPr>
                <m:t>log</m:t>
              </m:r>
            </m:e>
            <m:sub>
              <m:r>
                <m:t>10</m:t>
              </m:r>
            </m:sub>
          </m:sSub>
          <m:d>
            <m:dPr>
              <m:begChr m:val="("/>
              <m:endChr m:val=")"/>
              <m:sepChr m:val=""/>
              <m:grow/>
            </m:dPr>
            <m:e>
              <m:sSub>
                <m:e>
                  <m:r>
                    <m:t>σ</m:t>
                  </m:r>
                </m:e>
                <m:sub>
                  <m:r>
                    <m:t>i</m:t>
                  </m:r>
                  <m:r>
                    <m:t>m</m:t>
                  </m:r>
                  <m:r>
                    <m:t>a</m:t>
                  </m:r>
                  <m:r>
                    <m:t>g</m:t>
                  </m:r>
                </m:sub>
              </m:sSub>
            </m:e>
          </m:d>
          <m:r>
            <m:rPr>
              <m:sty m:val="p"/>
            </m:rPr>
            <m:t>.</m:t>
          </m:r>
        </m:oMath>
      </m:oMathPara>
    </w:p>
    <w:p>
      <w:pPr>
        <w:pStyle w:val="FirstParagraph"/>
      </w:pPr>
      <w:r>
        <w:t xml:space="preserve">Rows with nonpositive or nonfinite values cannot be passed through</w:t>
      </w:r>
      <w:r>
        <w:t xml:space="preserve"> </w:t>
      </w:r>
      <m:oMath>
        <m:sSub>
          <m:e>
            <m:r>
              <m:rPr>
                <m:sty m:val="p"/>
              </m:rPr>
              <m:t>log</m:t>
            </m:r>
          </m:e>
          <m:sub>
            <m:r>
              <m:t>10</m:t>
            </m:r>
          </m:sub>
        </m:sSub>
      </m:oMath>
      <w:r>
        <w:t xml:space="preserve">, so the script removes them before fitting. Those removed rows are written to a dropped-row CSV for traceability.</w:t>
      </w:r>
    </w:p>
    <w:bookmarkEnd w:id="25"/>
    <w:bookmarkStart w:id="26" w:name="Xf64cbcddd03396edf8b143511b671f478be15c3"/>
    <w:p>
      <w:pPr>
        <w:pStyle w:val="Heading2"/>
      </w:pPr>
      <w:r>
        <w:t xml:space="preserve">Reference quantities and normalized variables</w:t>
      </w:r>
    </w:p>
    <w:p>
      <w:pPr>
        <w:pStyle w:val="FirstParagraph"/>
      </w:pPr>
      <w:r>
        <w:t xml:space="preserve">The row with the largest matched saturation is treated as the reference state. If its resistivity and imaginary conductivity are</w:t>
      </w:r>
      <w:r>
        <w:t xml:space="preserve"> </w:t>
      </w:r>
      <m:oMath>
        <m:sSub>
          <m:e>
            <m:r>
              <m:t>ρ</m:t>
            </m:r>
          </m:e>
          <m:sub>
            <m:r>
              <m:t>r</m:t>
            </m:r>
            <m:r>
              <m:t>e</m:t>
            </m:r>
            <m:r>
              <m:t>f</m:t>
            </m:r>
          </m:sub>
        </m:sSub>
      </m:oMath>
      <w:r>
        <w:t xml:space="preserve"> </w:t>
      </w:r>
      <w:r>
        <w:t xml:space="preserve">and</w:t>
      </w:r>
      <w:r>
        <w:t xml:space="preserve"> </w:t>
      </w:r>
      <m:oMath>
        <m:sSub>
          <m:e>
            <m:r>
              <m:t>σ</m:t>
            </m:r>
          </m:e>
          <m:sub>
            <m:r>
              <m:t>r</m:t>
            </m:r>
            <m:r>
              <m:t>e</m:t>
            </m:r>
            <m:r>
              <m:t>f</m:t>
            </m:r>
          </m:sub>
        </m:sSub>
      </m:oMath>
      <w:r>
        <w:t xml:space="preserve">, then normalized variables are</w:t>
      </w:r>
    </w:p>
    <w:p>
      <w:pPr>
        <w:pStyle w:val="BodyText"/>
      </w:pPr>
      <m:oMathPara>
        <m:oMathParaPr>
          <m:jc m:val="center"/>
        </m:oMathParaPr>
        <m:oMath>
          <m:sSub>
            <m:e>
              <m:r>
                <m:t>ρ</m:t>
              </m:r>
            </m:e>
            <m:sub>
              <m:r>
                <m:t>i</m:t>
              </m:r>
              <m:r>
                <m:t>d</m:t>
              </m:r>
              <m:r>
                <m:t>x</m:t>
              </m:r>
            </m:sub>
          </m:sSub>
          <m:r>
            <m:rPr>
              <m:sty m:val="p"/>
            </m:rPr>
            <m:t>=</m:t>
          </m:r>
          <m:f>
            <m:fPr>
              <m:type m:val="bar"/>
            </m:fPr>
            <m:num>
              <m:r>
                <m:t>ρ</m:t>
              </m:r>
            </m:num>
            <m:den>
              <m:sSub>
                <m:e>
                  <m:r>
                    <m:t>ρ</m:t>
                  </m:r>
                </m:e>
                <m:sub>
                  <m:r>
                    <m:t>r</m:t>
                  </m:r>
                  <m:r>
                    <m:t>e</m:t>
                  </m:r>
                  <m:r>
                    <m:t>f</m:t>
                  </m:r>
                </m:sub>
              </m:sSub>
            </m:den>
          </m:f>
          <m:r>
            <m:rPr>
              <m:sty m:val="p"/>
            </m:rPr>
            <m:t>,</m:t>
          </m:r>
          <m:r>
            <m:t>  </m:t>
          </m:r>
          <m:sSub>
            <m:e>
              <m:r>
                <m:t>σ</m:t>
              </m:r>
            </m:e>
            <m:sub>
              <m:r>
                <m:t>i</m:t>
              </m:r>
              <m:r>
                <m:t>d</m:t>
              </m:r>
              <m:r>
                <m:t>x</m:t>
              </m:r>
            </m:sub>
          </m:sSub>
          <m:r>
            <m:rPr>
              <m:sty m:val="p"/>
            </m:rPr>
            <m:t>=</m:t>
          </m:r>
          <m:f>
            <m:fPr>
              <m:type m:val="bar"/>
            </m:fPr>
            <m:num>
              <m:sSub>
                <m:e>
                  <m:r>
                    <m:t>σ</m:t>
                  </m:r>
                </m:e>
                <m:sub>
                  <m:r>
                    <m:t>i</m:t>
                  </m:r>
                  <m:r>
                    <m:t>m</m:t>
                  </m:r>
                  <m:r>
                    <m:t>a</m:t>
                  </m:r>
                  <m:r>
                    <m:t>g</m:t>
                  </m:r>
                </m:sub>
              </m:sSub>
            </m:num>
            <m:den>
              <m:sSub>
                <m:e>
                  <m:r>
                    <m:t>σ</m:t>
                  </m:r>
                </m:e>
                <m:sub>
                  <m:r>
                    <m:t>r</m:t>
                  </m:r>
                  <m:r>
                    <m:t>e</m:t>
                  </m:r>
                  <m:r>
                    <m:t>f</m:t>
                  </m:r>
                </m:sub>
              </m:sSub>
            </m:den>
          </m:f>
          <m:r>
            <m:rPr>
              <m:sty m:val="p"/>
            </m:rPr>
            <m:t>.</m:t>
          </m:r>
        </m:oMath>
      </m:oMathPara>
    </w:p>
    <w:p>
      <w:pPr>
        <w:pStyle w:val="FirstParagraph"/>
      </w:pPr>
      <w:r>
        <w:t xml:space="preserve">Their logarithmic forms are</w:t>
      </w:r>
    </w:p>
    <w:p>
      <w:pPr>
        <w:pStyle w:val="BodyText"/>
      </w:pPr>
      <m:oMathPara>
        <m:oMathParaPr>
          <m:jc m:val="center"/>
        </m:oMathParaPr>
        <m:oMath>
          <m:r>
            <m:rPr>
              <m:sty m:val="p"/>
            </m:rPr>
            <m:t>log</m:t>
          </m:r>
          <m:r>
            <m:t>R</m:t>
          </m:r>
          <m:r>
            <m:t>I</m:t>
          </m:r>
          <m:r>
            <m:rPr>
              <m:sty m:val="p"/>
            </m:rPr>
            <m:t>=</m:t>
          </m:r>
          <m:sSub>
            <m:e>
              <m:r>
                <m:rPr>
                  <m:sty m:val="p"/>
                </m:rPr>
                <m:t>log</m:t>
              </m:r>
            </m:e>
            <m:sub>
              <m:r>
                <m:t>10</m:t>
              </m:r>
            </m:sub>
          </m:sSub>
          <m:d>
            <m:dPr>
              <m:begChr m:val="("/>
              <m:endChr m:val=")"/>
              <m:sepChr m:val=""/>
              <m:grow/>
            </m:dPr>
            <m:e>
              <m:r>
                <m:t>ρ</m:t>
              </m:r>
            </m:e>
          </m:d>
          <m:r>
            <m:rPr>
              <m:sty m:val="p"/>
            </m:rPr>
            <m:t>−</m:t>
          </m:r>
          <m:sSub>
            <m:e>
              <m:r>
                <m:rPr>
                  <m:sty m:val="p"/>
                </m:rPr>
                <m:t>log</m:t>
              </m:r>
            </m:e>
            <m:sub>
              <m:r>
                <m:t>10</m:t>
              </m:r>
            </m:sub>
          </m:sSub>
          <m:d>
            <m:dPr>
              <m:begChr m:val="("/>
              <m:endChr m:val=")"/>
              <m:sepChr m:val=""/>
              <m:grow/>
            </m:dPr>
            <m:e>
              <m:sSub>
                <m:e>
                  <m:r>
                    <m:t>ρ</m:t>
                  </m:r>
                </m:e>
                <m:sub>
                  <m:r>
                    <m:t>r</m:t>
                  </m:r>
                  <m:r>
                    <m:t>e</m:t>
                  </m:r>
                  <m:r>
                    <m:t>f</m:t>
                  </m:r>
                </m:sub>
              </m:sSub>
            </m:e>
          </m:d>
          <m:r>
            <m:rPr>
              <m:sty m:val="p"/>
            </m:rPr>
            <m:t>,</m:t>
          </m:r>
        </m:oMath>
      </m:oMathPara>
    </w:p>
    <w:p>
      <w:pPr>
        <w:pStyle w:val="FirstParagraph"/>
      </w:pPr>
      <w:r>
        <w:t xml:space="preserve">while the conductivity index can be written in either direction,</w:t>
      </w:r>
    </w:p>
    <w:p>
      <w:pPr>
        <w:pStyle w:val="BodyText"/>
      </w:pPr>
      <m:oMathPara>
        <m:oMathParaPr>
          <m:jc m:val="center"/>
        </m:oMathParaPr>
        <m:oMath>
          <m:r>
            <m:rPr>
              <m:sty m:val="p"/>
            </m:rPr>
            <m:t>log</m:t>
          </m:r>
          <m:sSub>
            <m:e>
              <m:r>
                <m:t>σ</m:t>
              </m:r>
            </m:e>
            <m:sub>
              <m:r>
                <m:t>i</m:t>
              </m:r>
              <m:r>
                <m:t>d</m:t>
              </m:r>
              <m:r>
                <m:t>x</m:t>
              </m:r>
            </m:sub>
          </m:sSub>
          <m:r>
            <m:rPr>
              <m:sty m:val="p"/>
            </m:rPr>
            <m:t>=</m:t>
          </m:r>
          <m:sSub>
            <m:e>
              <m:r>
                <m:rPr>
                  <m:sty m:val="p"/>
                </m:rPr>
                <m:t>log</m:t>
              </m:r>
            </m:e>
            <m:sub>
              <m:r>
                <m:t>10</m:t>
              </m:r>
            </m:sub>
          </m:sSub>
          <m:d>
            <m:dPr>
              <m:begChr m:val="("/>
              <m:endChr m:val=")"/>
              <m:sepChr m:val=""/>
              <m:grow/>
            </m:dPr>
            <m:e>
              <m:sSub>
                <m:e>
                  <m:r>
                    <m:t>σ</m:t>
                  </m:r>
                </m:e>
                <m:sub>
                  <m:r>
                    <m:t>i</m:t>
                  </m:r>
                  <m:r>
                    <m:t>m</m:t>
                  </m:r>
                  <m:r>
                    <m:t>a</m:t>
                  </m:r>
                  <m:r>
                    <m:t>g</m:t>
                  </m:r>
                </m:sub>
              </m:sSub>
            </m:e>
          </m:d>
          <m:r>
            <m:rPr>
              <m:sty m:val="p"/>
            </m:rPr>
            <m:t>−</m:t>
          </m:r>
          <m:sSub>
            <m:e>
              <m:r>
                <m:rPr>
                  <m:sty m:val="p"/>
                </m:rPr>
                <m:t>log</m:t>
              </m:r>
            </m:e>
            <m:sub>
              <m:r>
                <m:t>10</m:t>
              </m:r>
            </m:sub>
          </m:sSub>
          <m:d>
            <m:dPr>
              <m:begChr m:val="("/>
              <m:endChr m:val=")"/>
              <m:sepChr m:val=""/>
              <m:grow/>
            </m:dPr>
            <m:e>
              <m:sSub>
                <m:e>
                  <m:r>
                    <m:t>σ</m:t>
                  </m:r>
                </m:e>
                <m:sub>
                  <m:r>
                    <m:t>r</m:t>
                  </m:r>
                  <m:r>
                    <m:t>e</m:t>
                  </m:r>
                  <m:r>
                    <m:t>f</m:t>
                  </m:r>
                </m:sub>
              </m:sSub>
            </m:e>
          </m:d>
        </m:oMath>
      </m:oMathPara>
    </w:p>
    <w:p>
      <w:pPr>
        <w:pStyle w:val="FirstParagraph"/>
      </w:pPr>
      <w:r>
        <w:t xml:space="preserve">or</w:t>
      </w:r>
    </w:p>
    <w:p>
      <w:pPr>
        <w:pStyle w:val="BodyText"/>
      </w:pPr>
      <m:oMathPara>
        <m:oMathParaPr>
          <m:jc m:val="center"/>
        </m:oMathParaPr>
        <m:oMath>
          <m:r>
            <m:rPr>
              <m:sty m:val="p"/>
            </m:rPr>
            <m:t>log</m:t>
          </m:r>
          <m:r>
            <m:t>I</m:t>
          </m:r>
          <m:r>
            <m:t>C</m:t>
          </m:r>
          <m:r>
            <m:t>I</m:t>
          </m:r>
          <m:r>
            <m:rPr>
              <m:sty m:val="p"/>
            </m:rPr>
            <m:t>=</m:t>
          </m:r>
          <m:sSub>
            <m:e>
              <m:r>
                <m:rPr>
                  <m:sty m:val="p"/>
                </m:rPr>
                <m:t>log</m:t>
              </m:r>
            </m:e>
            <m:sub>
              <m:r>
                <m:t>10</m:t>
              </m:r>
            </m:sub>
          </m:sSub>
          <m:d>
            <m:dPr>
              <m:begChr m:val="("/>
              <m:endChr m:val=")"/>
              <m:sepChr m:val=""/>
              <m:grow/>
            </m:dPr>
            <m:e>
              <m:sSub>
                <m:e>
                  <m:r>
                    <m:t>σ</m:t>
                  </m:r>
                </m:e>
                <m:sub>
                  <m:r>
                    <m:t>r</m:t>
                  </m:r>
                  <m:r>
                    <m:t>e</m:t>
                  </m:r>
                  <m:r>
                    <m:t>f</m:t>
                  </m:r>
                </m:sub>
              </m:sSub>
            </m:e>
          </m:d>
          <m:r>
            <m:rPr>
              <m:sty m:val="p"/>
            </m:rPr>
            <m:t>−</m:t>
          </m:r>
          <m:sSub>
            <m:e>
              <m:r>
                <m:rPr>
                  <m:sty m:val="p"/>
                </m:rPr>
                <m:t>log</m:t>
              </m:r>
            </m:e>
            <m:sub>
              <m:r>
                <m:t>10</m:t>
              </m:r>
            </m:sub>
          </m:sSub>
          <m:d>
            <m:dPr>
              <m:begChr m:val="("/>
              <m:endChr m:val=")"/>
              <m:sepChr m:val=""/>
              <m:grow/>
            </m:dPr>
            <m:e>
              <m:sSub>
                <m:e>
                  <m:r>
                    <m:t>σ</m:t>
                  </m:r>
                </m:e>
                <m:sub>
                  <m:r>
                    <m:t>i</m:t>
                  </m:r>
                  <m:r>
                    <m:t>m</m:t>
                  </m:r>
                  <m:r>
                    <m:t>a</m:t>
                  </m:r>
                  <m:r>
                    <m:t>g</m:t>
                  </m:r>
                </m:sub>
              </m:sSub>
            </m:e>
          </m:d>
          <m:r>
            <m:rPr>
              <m:sty m:val="p"/>
            </m:rPr>
            <m:t>,</m:t>
          </m:r>
        </m:oMath>
      </m:oMathPara>
    </w:p>
    <w:p>
      <w:pPr>
        <w:pStyle w:val="FirstParagraph"/>
      </w:pPr>
      <w:r>
        <w:t xml:space="preserve">depending on the selected CLI option.</w:t>
      </w:r>
    </w:p>
    <w:bookmarkEnd w:id="26"/>
    <w:bookmarkStart w:id="27" w:name="vn-style-target-quantities"/>
    <w:p>
      <w:pPr>
        <w:pStyle w:val="Heading2"/>
      </w:pPr>
      <w:r>
        <w:t xml:space="preserve">VN-style target quantities</w:t>
      </w:r>
    </w:p>
    <w:p>
      <w:pPr>
        <w:pStyle w:val="FirstParagraph"/>
      </w:pPr>
      <w:r>
        <w:t xml:space="preserve">The resistivity target is</w:t>
      </w:r>
    </w:p>
    <w:p>
      <w:pPr>
        <w:pStyle w:val="BodyText"/>
      </w:pPr>
      <m:oMathPara>
        <m:oMathParaPr>
          <m:jc m:val="center"/>
        </m:oMathParaPr>
        <m:oMath>
          <m:r>
            <m:rPr>
              <m:sty m:val="p"/>
            </m:rPr>
            <m:t>log</m:t>
          </m:r>
          <m:r>
            <m:t>R</m:t>
          </m:r>
          <m:sSub>
            <m:e>
              <m:r>
                <m:t>I</m:t>
              </m:r>
            </m:e>
            <m:sub>
              <m:r>
                <m:t>v</m:t>
              </m:r>
              <m:r>
                <m:t>n</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log</m:t>
                    </m:r>
                    <m:r>
                      <m:t>R</m:t>
                    </m:r>
                    <m:r>
                      <m:t>I</m:t>
                    </m:r>
                    <m:r>
                      <m:rPr>
                        <m:sty m:val="p"/>
                      </m:rPr>
                      <m:t>,</m:t>
                    </m:r>
                  </m:e>
                  <m:e>
                    <m:r>
                      <m:rPr>
                        <m:nor/>
                        <m:sty m:val="p"/>
                      </m:rPr>
                      <m:t>normalized mode</m:t>
                    </m:r>
                    <m:r>
                      <m:rPr>
                        <m:sty m:val="p"/>
                      </m:rPr>
                      <m:t>,</m:t>
                    </m:r>
                  </m:e>
                </m:mr>
                <m:mr>
                  <m:e>
                    <m:sSub>
                      <m:e>
                        <m:r>
                          <m:rPr>
                            <m:sty m:val="p"/>
                          </m:rPr>
                          <m:t>log</m:t>
                        </m:r>
                      </m:e>
                      <m:sub>
                        <m:r>
                          <m:t>10</m:t>
                        </m:r>
                      </m:sub>
                    </m:sSub>
                    <m:d>
                      <m:dPr>
                        <m:begChr m:val="("/>
                        <m:endChr m:val=")"/>
                        <m:sepChr m:val=""/>
                        <m:grow/>
                      </m:dPr>
                      <m:e>
                        <m:r>
                          <m:t>ρ</m:t>
                        </m:r>
                      </m:e>
                    </m:d>
                    <m:r>
                      <m:rPr>
                        <m:sty m:val="p"/>
                      </m:rPr>
                      <m:t>,</m:t>
                    </m:r>
                  </m:e>
                  <m:e>
                    <m:r>
                      <m:rPr>
                        <m:nor/>
                        <m:sty m:val="p"/>
                      </m:rPr>
                      <m:t>unnormalized mode</m:t>
                    </m:r>
                    <m:r>
                      <m:rPr>
                        <m:sty m:val="p"/>
                      </m:rPr>
                      <m:t>,</m:t>
                    </m:r>
                  </m:e>
                </m:mr>
              </m:m>
            </m:e>
          </m:d>
        </m:oMath>
      </m:oMathPara>
    </w:p>
    <w:p>
      <w:pPr>
        <w:pStyle w:val="FirstParagraph"/>
      </w:pPr>
      <w:r>
        <w:t xml:space="preserve">and the conductivity target is</w:t>
      </w:r>
    </w:p>
    <w:p>
      <w:pPr>
        <w:pStyle w:val="BodyText"/>
      </w:pPr>
      <m:oMathPara>
        <m:oMathParaPr>
          <m:jc m:val="center"/>
        </m:oMathParaPr>
        <m:oMath>
          <m:r>
            <m:rPr>
              <m:sty m:val="p"/>
            </m:rPr>
            <m:t>log</m:t>
          </m:r>
          <m:r>
            <m:t>I</m:t>
          </m:r>
          <m:r>
            <m:t>C</m:t>
          </m:r>
          <m:sSub>
            <m:e>
              <m:r>
                <m:t>I</m:t>
              </m:r>
            </m:e>
            <m:sub>
              <m:r>
                <m:t>v</m:t>
              </m:r>
              <m:r>
                <m:t>n</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rPr>
                            <m:sty m:val="p"/>
                          </m:rPr>
                          <m:t>log</m:t>
                        </m:r>
                      </m:e>
                      <m:sub>
                        <m:r>
                          <m:t>10</m:t>
                        </m:r>
                      </m:sub>
                    </m:sSub>
                    <m:d>
                      <m:dPr>
                        <m:begChr m:val="("/>
                        <m:endChr m:val=")"/>
                        <m:sepChr m:val=""/>
                        <m:grow/>
                      </m:dPr>
                      <m:e>
                        <m:sSub>
                          <m:e>
                            <m:r>
                              <m:t>σ</m:t>
                            </m:r>
                          </m:e>
                          <m:sub>
                            <m:r>
                              <m:t>r</m:t>
                            </m:r>
                            <m:r>
                              <m:t>e</m:t>
                            </m:r>
                            <m:r>
                              <m:t>f</m:t>
                            </m:r>
                          </m:sub>
                        </m:sSub>
                      </m:e>
                    </m:d>
                    <m:r>
                      <m:rPr>
                        <m:sty m:val="p"/>
                      </m:rPr>
                      <m:t>−</m:t>
                    </m:r>
                    <m:sSub>
                      <m:e>
                        <m:r>
                          <m:rPr>
                            <m:sty m:val="p"/>
                          </m:rPr>
                          <m:t>log</m:t>
                        </m:r>
                      </m:e>
                      <m:sub>
                        <m:r>
                          <m:t>10</m:t>
                        </m:r>
                      </m:sub>
                    </m:sSub>
                    <m:d>
                      <m:dPr>
                        <m:begChr m:val="("/>
                        <m:endChr m:val=")"/>
                        <m:sepChr m:val=""/>
                        <m:grow/>
                      </m:dPr>
                      <m:e>
                        <m:sSub>
                          <m:e>
                            <m:r>
                              <m:t>σ</m:t>
                            </m:r>
                          </m:e>
                          <m:sub>
                            <m:r>
                              <m:t>i</m:t>
                            </m:r>
                            <m:r>
                              <m:t>m</m:t>
                            </m:r>
                            <m:r>
                              <m:t>a</m:t>
                            </m:r>
                            <m:r>
                              <m:t>g</m:t>
                            </m:r>
                          </m:sub>
                        </m:sSub>
                      </m:e>
                    </m:d>
                    <m:r>
                      <m:rPr>
                        <m:sty m:val="p"/>
                      </m:rPr>
                      <m:t>,</m:t>
                    </m:r>
                  </m:e>
                  <m:e>
                    <m:r>
                      <m:rPr>
                        <m:nor/>
                        <m:sty m:val="p"/>
                      </m:rPr>
                      <m:t>normalized mode</m:t>
                    </m:r>
                    <m:r>
                      <m:rPr>
                        <m:sty m:val="p"/>
                      </m:rPr>
                      <m:t>,</m:t>
                    </m:r>
                  </m:e>
                </m:mr>
                <m:mr>
                  <m:e>
                    <m:sSub>
                      <m:e>
                        <m:r>
                          <m:rPr>
                            <m:sty m:val="p"/>
                          </m:rPr>
                          <m:t>log</m:t>
                        </m:r>
                      </m:e>
                      <m:sub>
                        <m:r>
                          <m:t>10</m:t>
                        </m:r>
                      </m:sub>
                    </m:sSub>
                    <m:d>
                      <m:dPr>
                        <m:begChr m:val="("/>
                        <m:endChr m:val=")"/>
                        <m:sepChr m:val=""/>
                        <m:grow/>
                      </m:dPr>
                      <m:e>
                        <m:sSub>
                          <m:e>
                            <m:r>
                              <m:t>σ</m:t>
                            </m:r>
                          </m:e>
                          <m:sub>
                            <m:r>
                              <m:t>i</m:t>
                            </m:r>
                            <m:r>
                              <m:t>m</m:t>
                            </m:r>
                            <m:r>
                              <m:t>a</m:t>
                            </m:r>
                            <m:r>
                              <m:t>g</m:t>
                            </m:r>
                          </m:sub>
                        </m:sSub>
                      </m:e>
                    </m:d>
                    <m:r>
                      <m:rPr>
                        <m:sty m:val="p"/>
                      </m:rPr>
                      <m:t>,</m:t>
                    </m:r>
                  </m:e>
                  <m:e>
                    <m:r>
                      <m:rPr>
                        <m:nor/>
                        <m:sty m:val="p"/>
                      </m:rPr>
                      <m:t>unnormalized mode</m:t>
                    </m:r>
                    <m:r>
                      <m:rPr>
                        <m:sty m:val="p"/>
                      </m:rPr>
                      <m:t>.</m:t>
                    </m:r>
                  </m:e>
                </m:mr>
              </m:m>
            </m:e>
          </m:d>
        </m:oMath>
      </m:oMathPara>
    </w:p>
    <w:p>
      <w:pPr>
        <w:pStyle w:val="FirstParagraph"/>
      </w:pPr>
      <w:r>
        <w:t xml:space="preserve">The important point is that the normalized VN-style conductivity target always uses the</w:t>
      </w:r>
      <w:r>
        <w:t xml:space="preserve"> </w:t>
      </w:r>
      <m:oMath>
        <m:sSub>
          <m:e>
            <m:r>
              <m:t>σ</m:t>
            </m:r>
          </m:e>
          <m:sub>
            <m:r>
              <m:t>r</m:t>
            </m:r>
            <m:r>
              <m:t>e</m:t>
            </m:r>
            <m:r>
              <m:t>f</m:t>
            </m:r>
          </m:sub>
        </m:sSub>
        <m:r>
          <m:rPr>
            <m:sty m:val="p"/>
          </m:rPr>
          <m:t>/</m:t>
        </m:r>
        <m:r>
          <m:t>σ</m:t>
        </m:r>
      </m:oMath>
      <w:r>
        <w:t xml:space="preserve"> </w:t>
      </w:r>
      <w:r>
        <w:t xml:space="preserve">direction.</w:t>
      </w:r>
    </w:p>
    <w:bookmarkEnd w:id="27"/>
    <w:bookmarkEnd w:id="28"/>
    <w:bookmarkStart w:id="33" w:name="regression-models"/>
    <w:p>
      <w:pPr>
        <w:pStyle w:val="Heading1"/>
      </w:pPr>
      <w:r>
        <w:t xml:space="preserve">Regression models</w:t>
      </w:r>
    </w:p>
    <w:bookmarkStart w:id="29" w:name="standard-linear-model"/>
    <w:p>
      <w:pPr>
        <w:pStyle w:val="Heading2"/>
      </w:pPr>
      <w:r>
        <w:t xml:space="preserve">Standard linear model</w:t>
      </w:r>
    </w:p>
    <w:p>
      <w:pPr>
        <w:pStyle w:val="FirstParagraph"/>
      </w:pPr>
      <w:r>
        <w:t xml:space="preserve">The ordinary linear model is</w:t>
      </w:r>
    </w:p>
    <w:p>
      <w:pPr>
        <w:pStyle w:val="BodyText"/>
      </w:pPr>
      <m:oMathPara>
        <m:oMathParaPr>
          <m:jc m:val="center"/>
        </m:oMathParaPr>
        <m:oMath>
          <m:acc>
            <m:accPr>
              <m:chr m:val="̂"/>
            </m:accPr>
            <m:e>
              <m:r>
                <m:t>y</m:t>
              </m:r>
            </m:e>
          </m:acc>
          <m:r>
            <m:rPr>
              <m:sty m:val="p"/>
            </m:rPr>
            <m:t>=</m:t>
          </m:r>
          <m:r>
            <m:t>a</m:t>
          </m:r>
          <m:r>
            <m:t>x</m:t>
          </m:r>
          <m:r>
            <m:rPr>
              <m:sty m:val="p"/>
            </m:rPr>
            <m:t>+</m:t>
          </m:r>
          <m:r>
            <m:t>b</m:t>
          </m:r>
          <m:r>
            <m:rPr>
              <m:sty m:val="p"/>
            </m:rPr>
            <m:t>.</m:t>
          </m:r>
        </m:oMath>
      </m:oMathPara>
    </w:p>
    <w:p>
      <w:pPr>
        <w:pStyle w:val="FirstParagraph"/>
      </w:pPr>
      <w:r>
        <w:t xml:space="preserve">The residual sum of squares is</w:t>
      </w:r>
    </w:p>
    <w:p>
      <w:pPr>
        <w:pStyle w:val="BodyText"/>
      </w:pPr>
      <m:oMathPara>
        <m:oMathParaPr>
          <m:jc m:val="center"/>
        </m:oMathParaPr>
        <m:oMath>
          <m:r>
            <m:t>S</m:t>
          </m:r>
          <m:r>
            <m:t>S</m:t>
          </m:r>
          <m:r>
            <m:t>E</m:t>
          </m:r>
          <m:r>
            <m:rPr>
              <m:sty m:val="p"/>
            </m:rPr>
            <m:t>=</m:t>
          </m:r>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r>
            <m:rPr>
              <m:sty m:val="p"/>
            </m:rPr>
            <m:t>,</m:t>
          </m:r>
        </m:oMath>
      </m:oMathPara>
    </w:p>
    <w:p>
      <w:pPr>
        <w:pStyle w:val="FirstParagraph"/>
      </w:pPr>
      <w:r>
        <w:t xml:space="preserve">and the total sum of squares is</w:t>
      </w:r>
    </w:p>
    <w:p>
      <w:pPr>
        <w:pStyle w:val="BodyText"/>
      </w:pPr>
      <m:oMathPara>
        <m:oMathParaPr>
          <m:jc m:val="center"/>
        </m:oMathParaPr>
        <m:oMath>
          <m:r>
            <m:t>S</m:t>
          </m:r>
          <m:r>
            <m:t>S</m:t>
          </m:r>
          <m:r>
            <m:t>T</m:t>
          </m:r>
          <m:r>
            <m:rPr>
              <m:sty m:val="p"/>
            </m:rPr>
            <m:t>=</m:t>
          </m:r>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acc>
                        <m:accPr>
                          <m:chr m:val="‾"/>
                        </m:accPr>
                        <m:e>
                          <m:r>
                            <m:t>y</m:t>
                          </m:r>
                        </m:e>
                      </m:acc>
                    </m:e>
                  </m:d>
                </m:e>
                <m:sup>
                  <m:r>
                    <m:t>2</m:t>
                  </m:r>
                </m:sup>
              </m:sSup>
            </m:e>
          </m:nary>
          <m:r>
            <m:rPr>
              <m:sty m:val="p"/>
            </m:rPr>
            <m:t>.</m:t>
          </m:r>
        </m:oMath>
      </m:oMathPara>
    </w:p>
    <w:p>
      <w:pPr>
        <w:pStyle w:val="FirstParagraph"/>
      </w:pPr>
      <w:r>
        <w:t xml:space="preserve">The coefficient of determination is</w:t>
      </w:r>
    </w:p>
    <w:p>
      <w:pPr>
        <w:pStyle w:val="BodyText"/>
      </w:pPr>
      <m:oMathPara>
        <m:oMathParaPr>
          <m:jc m:val="center"/>
        </m:oMathParaPr>
        <m:oMath>
          <m:sSup>
            <m:e>
              <m:r>
                <m:t>R</m:t>
              </m:r>
            </m:e>
            <m:sup>
              <m:r>
                <m:t>2</m:t>
              </m:r>
            </m:sup>
          </m:sSup>
          <m:r>
            <m:rPr>
              <m:sty m:val="p"/>
            </m:rPr>
            <m:t>=</m:t>
          </m:r>
          <m:r>
            <m:t>1</m:t>
          </m:r>
          <m:r>
            <m:rPr>
              <m:sty m:val="p"/>
            </m:rPr>
            <m:t>−</m:t>
          </m:r>
          <m:f>
            <m:fPr>
              <m:type m:val="bar"/>
            </m:fPr>
            <m:num>
              <m:r>
                <m:t>S</m:t>
              </m:r>
              <m:r>
                <m:t>S</m:t>
              </m:r>
              <m:r>
                <m:t>E</m:t>
              </m:r>
            </m:num>
            <m:den>
              <m:r>
                <m:t>S</m:t>
              </m:r>
              <m:r>
                <m:t>S</m:t>
              </m:r>
              <m:r>
                <m:t>T</m:t>
              </m:r>
            </m:den>
          </m:f>
          <m:r>
            <m:rPr>
              <m:sty m:val="p"/>
            </m:rPr>
            <m:t>.</m:t>
          </m:r>
        </m:oMath>
      </m:oMathPara>
    </w:p>
    <w:p>
      <w:pPr>
        <w:pStyle w:val="FirstParagraph"/>
      </w:pPr>
      <w:r>
        <w:t xml:space="preserve">The script also computes a Gaussian Akaike information criterion,</w:t>
      </w:r>
    </w:p>
    <w:p>
      <w:pPr>
        <w:pStyle w:val="BodyText"/>
      </w:pPr>
      <m:oMathPara>
        <m:oMathParaPr>
          <m:jc m:val="center"/>
        </m:oMathParaPr>
        <m:oMath>
          <m:r>
            <m:t>A</m:t>
          </m:r>
          <m:r>
            <m:t>I</m:t>
          </m:r>
          <m:r>
            <m:t>C</m:t>
          </m:r>
          <m:r>
            <m:rPr>
              <m:sty m:val="p"/>
            </m:rPr>
            <m:t>=</m:t>
          </m:r>
          <m:r>
            <m:t>n</m:t>
          </m:r>
          <m:r>
            <m:rPr>
              <m:sty m:val="p"/>
            </m:rPr>
            <m:t>ln</m:t>
          </m:r>
          <m:r>
            <m:t>​</m:t>
          </m:r>
          <m:d>
            <m:dPr>
              <m:begChr m:val="("/>
              <m:endChr m:val=")"/>
              <m:sepChr m:val=""/>
              <m:grow/>
            </m:dPr>
            <m:e>
              <m:f>
                <m:fPr>
                  <m:type m:val="bar"/>
                </m:fPr>
                <m:num>
                  <m:r>
                    <m:t>S</m:t>
                  </m:r>
                  <m:r>
                    <m:t>S</m:t>
                  </m:r>
                  <m:r>
                    <m:t>E</m:t>
                  </m:r>
                </m:num>
                <m:den>
                  <m:r>
                    <m:t>n</m:t>
                  </m:r>
                </m:den>
              </m:f>
            </m:e>
          </m:d>
          <m:r>
            <m:rPr>
              <m:sty m:val="p"/>
            </m:rPr>
            <m:t>+</m:t>
          </m:r>
          <m:r>
            <m:t>2</m:t>
          </m:r>
          <m:r>
            <m:t>k</m:t>
          </m:r>
          <m:r>
            <m:rPr>
              <m:sty m:val="p"/>
            </m:rPr>
            <m:t>,</m:t>
          </m:r>
        </m:oMath>
      </m:oMathPara>
    </w:p>
    <w:p>
      <w:pPr>
        <w:pStyle w:val="FirstParagraph"/>
      </w:pPr>
      <w:r>
        <w:t xml:space="preserve">where</w:t>
      </w:r>
      <w:r>
        <w:t xml:space="preserve"> </w:t>
      </w:r>
      <m:oMath>
        <m:r>
          <m:t>n</m:t>
        </m:r>
      </m:oMath>
      <w:r>
        <w:t xml:space="preserve"> </w:t>
      </w:r>
      <w:r>
        <w:t xml:space="preserve">is the number of fitted points and</w:t>
      </w:r>
      <w:r>
        <w:t xml:space="preserve"> </w:t>
      </w:r>
      <m:oMath>
        <m:r>
          <m:t>k</m:t>
        </m:r>
      </m:oMath>
      <w:r>
        <w:t xml:space="preserve"> </w:t>
      </w:r>
      <w:r>
        <w:t xml:space="preserve">is the number of free parameters. For the linear model,</w:t>
      </w:r>
      <w:r>
        <w:t xml:space="preserve"> </w:t>
      </w:r>
      <m:oMath>
        <m:r>
          <m:t>k</m:t>
        </m:r>
        <m:r>
          <m:rPr>
            <m:sty m:val="p"/>
          </m:rPr>
          <m:t>=</m:t>
        </m:r>
        <m:r>
          <m:t>2</m:t>
        </m:r>
      </m:oMath>
      <w:r>
        <w:t xml:space="preserve">.</w:t>
      </w:r>
    </w:p>
    <w:p>
      <w:pPr>
        <w:pStyle w:val="BodyText"/>
      </w:pPr>
      <w:r>
        <w:t xml:space="preserve">The p-value reported for linear fits is based on an F statistic,</w:t>
      </w:r>
    </w:p>
    <w:p>
      <w:pPr>
        <w:pStyle w:val="BodyText"/>
      </w:pPr>
      <m:oMathPara>
        <m:oMathParaPr>
          <m:jc m:val="center"/>
        </m:oMathParaPr>
        <m:oMath>
          <m:r>
            <m:t>F</m:t>
          </m:r>
          <m:r>
            <m:rPr>
              <m:sty m:val="p"/>
            </m:rPr>
            <m:t>=</m:t>
          </m:r>
          <m:f>
            <m:fPr>
              <m:type m:val="bar"/>
            </m:fPr>
            <m:num>
              <m:d>
                <m:dPr>
                  <m:begChr m:val="("/>
                  <m:endChr m:val=")"/>
                  <m:sepChr m:val=""/>
                  <m:grow/>
                </m:dPr>
                <m:e>
                  <m:r>
                    <m:t>S</m:t>
                  </m:r>
                  <m:r>
                    <m:t>S</m:t>
                  </m:r>
                  <m:r>
                    <m:t>T</m:t>
                  </m:r>
                  <m:r>
                    <m:rPr>
                      <m:sty m:val="p"/>
                    </m:rPr>
                    <m:t>−</m:t>
                  </m:r>
                  <m:r>
                    <m:t>S</m:t>
                  </m:r>
                  <m:r>
                    <m:t>S</m:t>
                  </m:r>
                  <m:r>
                    <m:t>E</m:t>
                  </m:r>
                </m:e>
              </m:d>
              <m:r>
                <m:rPr>
                  <m:sty m:val="p"/>
                </m:rPr>
                <m:t>/</m:t>
              </m:r>
              <m:r>
                <m:t>d</m:t>
              </m:r>
              <m:sSub>
                <m:e>
                  <m:r>
                    <m:t>f</m:t>
                  </m:r>
                </m:e>
                <m:sub>
                  <m:r>
                    <m:t>m</m:t>
                  </m:r>
                  <m:r>
                    <m:t>o</m:t>
                  </m:r>
                  <m:r>
                    <m:t>d</m:t>
                  </m:r>
                  <m:r>
                    <m:t>e</m:t>
                  </m:r>
                  <m:r>
                    <m:t>l</m:t>
                  </m:r>
                </m:sub>
              </m:sSub>
            </m:num>
            <m:den>
              <m:r>
                <m:t>S</m:t>
              </m:r>
              <m:r>
                <m:t>S</m:t>
              </m:r>
              <m:r>
                <m:t>E</m:t>
              </m:r>
              <m:r>
                <m:rPr>
                  <m:sty m:val="p"/>
                </m:rPr>
                <m:t>/</m:t>
              </m:r>
              <m:r>
                <m:t>d</m:t>
              </m:r>
              <m:sSub>
                <m:e>
                  <m:r>
                    <m:t>f</m:t>
                  </m:r>
                </m:e>
                <m:sub>
                  <m:r>
                    <m:t>r</m:t>
                  </m:r>
                  <m:r>
                    <m:t>e</m:t>
                  </m:r>
                  <m:r>
                    <m:t>s</m:t>
                  </m:r>
                  <m:r>
                    <m:t>i</m:t>
                  </m:r>
                  <m:r>
                    <m:t>d</m:t>
                  </m:r>
                  <m:r>
                    <m:t>u</m:t>
                  </m:r>
                  <m:r>
                    <m:t>a</m:t>
                  </m:r>
                  <m:r>
                    <m:t>l</m:t>
                  </m:r>
                </m:sub>
              </m:sSub>
            </m:den>
          </m:f>
          <m:r>
            <m:rPr>
              <m:sty m:val="p"/>
            </m:rPr>
            <m:t>,</m:t>
          </m:r>
        </m:oMath>
      </m:oMathPara>
    </w:p>
    <w:p>
      <w:pPr>
        <w:pStyle w:val="FirstParagraph"/>
      </w:pPr>
      <w:r>
        <w:t xml:space="preserve">with the survival function evaluated through an incomplete-beta implementation.</w:t>
      </w:r>
    </w:p>
    <w:bookmarkEnd w:id="29"/>
    <w:bookmarkStart w:id="30" w:name="through-origin-target-model"/>
    <w:p>
      <w:pPr>
        <w:pStyle w:val="Heading2"/>
      </w:pPr>
      <w:r>
        <w:t xml:space="preserve">Through-origin target model</w:t>
      </w:r>
    </w:p>
    <w:p>
      <w:pPr>
        <w:pStyle w:val="FirstParagraph"/>
      </w:pPr>
      <w:r>
        <w:t xml:space="preserve">For the target plots the intercept is fixed to zero,</w:t>
      </w:r>
    </w:p>
    <w:p>
      <w:pPr>
        <w:pStyle w:val="BodyText"/>
      </w:pPr>
      <m:oMathPara>
        <m:oMathParaPr>
          <m:jc m:val="center"/>
        </m:oMathParaPr>
        <m:oMath>
          <m:acc>
            <m:accPr>
              <m:chr m:val="̂"/>
            </m:accPr>
            <m:e>
              <m:r>
                <m:t>y</m:t>
              </m:r>
            </m:e>
          </m:acc>
          <m:r>
            <m:rPr>
              <m:sty m:val="p"/>
            </m:rPr>
            <m:t>=</m:t>
          </m:r>
          <m:r>
            <m:t>a</m:t>
          </m:r>
          <m:r>
            <m:t>x</m:t>
          </m:r>
          <m:r>
            <m:rPr>
              <m:sty m:val="p"/>
            </m:rPr>
            <m:t>.</m:t>
          </m:r>
        </m:oMath>
      </m:oMathPara>
    </w:p>
    <w:p>
      <w:pPr>
        <w:pStyle w:val="FirstParagraph"/>
      </w:pPr>
      <w:r>
        <w:t xml:space="preserve">The least-squares slope has a closed form,</w:t>
      </w:r>
    </w:p>
    <w:p>
      <w:pPr>
        <w:pStyle w:val="BodyText"/>
      </w:pPr>
      <m:oMathPara>
        <m:oMathParaPr>
          <m:jc m:val="center"/>
        </m:oMathParaPr>
        <m:oMath>
          <m:r>
            <m:t>a</m:t>
          </m:r>
          <m:r>
            <m:rPr>
              <m:sty m:val="p"/>
            </m:rPr>
            <m:t>=</m:t>
          </m:r>
          <m:f>
            <m:fPr>
              <m:type m:val="bar"/>
            </m:fPr>
            <m:num>
              <m:r>
                <m:t>x</m:t>
              </m:r>
              <m:r>
                <m:rPr>
                  <m:sty m:val="p"/>
                </m:rPr>
                <m:t>⋅</m:t>
              </m:r>
              <m:r>
                <m:t>y</m:t>
              </m:r>
            </m:num>
            <m:den>
              <m:r>
                <m:t>x</m:t>
              </m:r>
              <m:r>
                <m:rPr>
                  <m:sty m:val="p"/>
                </m:rPr>
                <m:t>⋅</m:t>
              </m:r>
              <m:r>
                <m:t>x</m:t>
              </m:r>
            </m:den>
          </m:f>
          <m:r>
            <m:rPr>
              <m:sty m:val="p"/>
            </m:rPr>
            <m:t>.</m:t>
          </m:r>
        </m:oMath>
      </m:oMathPara>
    </w:p>
    <w:p>
      <w:pPr>
        <w:pStyle w:val="FirstParagraph"/>
      </w:pPr>
      <w:r>
        <w:t xml:space="preserve">This coefficient is interpreted as the target exponent for the RI and ICI plots.</w:t>
      </w:r>
    </w:p>
    <w:bookmarkEnd w:id="30"/>
    <w:bookmarkStart w:id="31" w:name="polynomial-model"/>
    <w:p>
      <w:pPr>
        <w:pStyle w:val="Heading2"/>
      </w:pPr>
      <w:r>
        <w:t xml:space="preserve">Polynomial model</w:t>
      </w:r>
    </w:p>
    <w:p>
      <w:pPr>
        <w:pStyle w:val="FirstParagraph"/>
      </w:pPr>
      <w:r>
        <w:t xml:space="preserve">When the polynomial option is enabled, the fitted curve has the form</w:t>
      </w:r>
    </w:p>
    <w:p>
      <w:pPr>
        <w:pStyle w:val="BodyText"/>
      </w:pPr>
      <m:oMathPara>
        <m:oMathParaPr>
          <m:jc m:val="center"/>
        </m:oMathParaPr>
        <m:oMath>
          <m:acc>
            <m:accPr>
              <m:chr m:val="̂"/>
            </m:accPr>
            <m:e>
              <m:r>
                <m:t>y</m:t>
              </m:r>
            </m:e>
          </m:acc>
          <m:r>
            <m:rPr>
              <m:sty m:val="p"/>
            </m:rPr>
            <m:t>=</m:t>
          </m:r>
          <m:sSub>
            <m:e>
              <m:r>
                <m:t>c</m:t>
              </m:r>
            </m:e>
            <m:sub>
              <m:r>
                <m:t>0</m:t>
              </m:r>
            </m:sub>
          </m:sSub>
          <m:sSup>
            <m:e>
              <m:r>
                <m:t>x</m:t>
              </m:r>
            </m:e>
            <m:sup>
              <m:r>
                <m:t>d</m:t>
              </m:r>
            </m:sup>
          </m:sSup>
          <m:r>
            <m:rPr>
              <m:sty m:val="p"/>
            </m:rPr>
            <m:t>+</m:t>
          </m:r>
          <m:sSub>
            <m:e>
              <m:r>
                <m:t>c</m:t>
              </m:r>
            </m:e>
            <m:sub>
              <m:r>
                <m:t>1</m:t>
              </m:r>
            </m:sub>
          </m:sSub>
          <m:sSup>
            <m:e>
              <m:r>
                <m:t>x</m:t>
              </m:r>
            </m:e>
            <m:sup>
              <m:r>
                <m:t>d</m:t>
              </m:r>
              <m:r>
                <m:rPr>
                  <m:sty m:val="p"/>
                </m:rPr>
                <m:t>−</m:t>
              </m:r>
              <m:r>
                <m:t>1</m:t>
              </m:r>
            </m:sup>
          </m:sSup>
          <m:r>
            <m:rPr>
              <m:sty m:val="p"/>
            </m:rPr>
            <m:t>+</m:t>
          </m:r>
          <m:r>
            <m:rPr>
              <m:sty m:val="p"/>
            </m:rPr>
            <m:t>⋯</m:t>
          </m:r>
          <m:r>
            <m:rPr>
              <m:sty m:val="p"/>
            </m:rPr>
            <m:t>+</m:t>
          </m:r>
          <m:sSub>
            <m:e>
              <m:r>
                <m:t>c</m:t>
              </m:r>
            </m:e>
            <m:sub>
              <m:r>
                <m:t>d</m:t>
              </m:r>
            </m:sub>
          </m:sSub>
          <m:r>
            <m:rPr>
              <m:sty m:val="p"/>
            </m:rPr>
            <m:t>,</m:t>
          </m:r>
        </m:oMath>
      </m:oMathPara>
    </w:p>
    <w:p>
      <w:pPr>
        <w:pStyle w:val="FirstParagraph"/>
      </w:pPr>
      <w:r>
        <w:t xml:space="preserve">where</w:t>
      </w:r>
      <w:r>
        <w:t xml:space="preserve"> </w:t>
      </w:r>
      <m:oMath>
        <m:r>
          <m:t>d</m:t>
        </m:r>
      </m:oMath>
      <w:r>
        <w:t xml:space="preserve"> </w:t>
      </w:r>
      <w:r>
        <w:t xml:space="preserve">is set by</w:t>
      </w:r>
      <w:r>
        <w:t xml:space="preserve"> </w:t>
      </w:r>
      <w:r>
        <w:rPr>
          <w:rStyle w:val="VerbatimChar"/>
        </w:rPr>
        <w:t xml:space="preserve">–poly-deg</w:t>
      </w:r>
      <w:r>
        <w:t xml:space="preserve">. The fit is performed with</w:t>
      </w:r>
      <w:r>
        <w:t xml:space="preserve"> </w:t>
      </w:r>
      <w:r>
        <w:rPr>
          <w:rStyle w:val="VerbatimChar"/>
        </w:rPr>
        <w:t xml:space="preserve">numpy.polyfit</w:t>
      </w:r>
      <w:r>
        <w:t xml:space="preserve">, and the predicted values are written into the joined CSV for plotting.</w:t>
      </w:r>
    </w:p>
    <w:bookmarkEnd w:id="31"/>
    <w:bookmarkStart w:id="32" w:name="four-parameter-logistic-model"/>
    <w:p>
      <w:pPr>
        <w:pStyle w:val="Heading2"/>
      </w:pPr>
      <w:r>
        <w:t xml:space="preserve">Four-parameter logistic model</w:t>
      </w:r>
    </w:p>
    <w:p>
      <w:pPr>
        <w:pStyle w:val="FirstParagraph"/>
      </w:pPr>
      <w:r>
        <w:t xml:space="preserve">The nonlinear logistic candidate is</w:t>
      </w:r>
    </w:p>
    <w:p>
      <w:pPr>
        <w:pStyle w:val="BodyText"/>
      </w:pPr>
      <m:oMathPara>
        <m:oMathParaPr>
          <m:jc m:val="center"/>
        </m:oMathParaPr>
        <m:oMath>
          <m:r>
            <m:t>f</m:t>
          </m:r>
          <m:d>
            <m:dPr>
              <m:begChr m:val="("/>
              <m:endChr m:val=")"/>
              <m:sepChr m:val=""/>
              <m:grow/>
            </m:dPr>
            <m:e>
              <m:r>
                <m:t>x</m:t>
              </m:r>
            </m:e>
          </m:d>
          <m:r>
            <m:rPr>
              <m:sty m:val="p"/>
            </m:rPr>
            <m:t>=</m:t>
          </m:r>
          <m:r>
            <m:t>c</m:t>
          </m:r>
          <m:r>
            <m:rPr>
              <m:sty m:val="p"/>
            </m:rPr>
            <m:t>+</m:t>
          </m:r>
          <m:f>
            <m:fPr>
              <m:type m:val="bar"/>
            </m:fPr>
            <m:num>
              <m:r>
                <m:t>L</m:t>
              </m:r>
            </m:num>
            <m:den>
              <m:r>
                <m:t>1</m:t>
              </m:r>
              <m:r>
                <m:rPr>
                  <m:sty m:val="p"/>
                </m:rPr>
                <m:t>+</m:t>
              </m:r>
              <m:r>
                <m:rPr>
                  <m:sty m:val="p"/>
                </m:rPr>
                <m:t>exp</m:t>
              </m:r>
              <m:d>
                <m:dPr>
                  <m:begChr m:val="["/>
                  <m:endChr m:val="]"/>
                  <m:sepChr m:val=""/>
                  <m:grow/>
                </m:dPr>
                <m:e>
                  <m:r>
                    <m:rPr>
                      <m:sty m:val="p"/>
                    </m:rPr>
                    <m:t>−</m:t>
                  </m:r>
                  <m:r>
                    <m:t>k</m:t>
                  </m:r>
                  <m:d>
                    <m:dPr>
                      <m:begChr m:val="("/>
                      <m:endChr m:val=")"/>
                      <m:sepChr m:val=""/>
                      <m:grow/>
                    </m:dPr>
                    <m:e>
                      <m:r>
                        <m:t>x</m:t>
                      </m:r>
                      <m:r>
                        <m:rPr>
                          <m:sty m:val="p"/>
                        </m:rPr>
                        <m:t>−</m:t>
                      </m:r>
                      <m:sSub>
                        <m:e>
                          <m:r>
                            <m:t>x</m:t>
                          </m:r>
                        </m:e>
                        <m:sub>
                          <m:r>
                            <m:t>0</m:t>
                          </m:r>
                        </m:sub>
                      </m:sSub>
                    </m:e>
                  </m:d>
                </m:e>
              </m:d>
            </m:den>
          </m:f>
          <m:r>
            <m:rPr>
              <m:sty m:val="p"/>
            </m:rPr>
            <m:t>.</m:t>
          </m:r>
        </m:oMath>
      </m:oMathPara>
    </w:p>
    <w:p>
      <w:pPr>
        <w:pStyle w:val="FirstParagraph"/>
      </w:pPr>
      <w:r>
        <w:t xml:space="preserve">Its asymptotic behavior is easy to interpret:</w:t>
      </w:r>
    </w:p>
    <w:p>
      <w:pPr>
        <w:pStyle w:val="BodyText"/>
      </w:pPr>
      <m:oMathPara>
        <m:oMathParaPr>
          <m:jc m:val="center"/>
        </m:oMathParaPr>
        <m:oMath>
          <m:r>
            <m:t>x</m:t>
          </m:r>
          <m:r>
            <m:rPr>
              <m:sty m:val="p"/>
            </m:rPr>
            <m:t>≪</m:t>
          </m:r>
          <m:sSub>
            <m:e>
              <m:r>
                <m:t>x</m:t>
              </m:r>
            </m:e>
            <m:sub>
              <m:r>
                <m:t>0</m:t>
              </m:r>
            </m:sub>
          </m:sSub>
          <m:r>
            <m:rPr>
              <m:sty m:val="p"/>
            </m:rPr>
            <m:t>⇒</m:t>
          </m:r>
          <m:r>
            <m:t>f</m:t>
          </m:r>
          <m:d>
            <m:dPr>
              <m:begChr m:val="("/>
              <m:endChr m:val=")"/>
              <m:sepChr m:val=""/>
              <m:grow/>
            </m:dPr>
            <m:e>
              <m:r>
                <m:t>x</m:t>
              </m:r>
            </m:e>
          </m:d>
          <m:r>
            <m:rPr>
              <m:sty m:val="p"/>
            </m:rPr>
            <m:t>≈</m:t>
          </m:r>
          <m:r>
            <m:t>c</m:t>
          </m:r>
          <m:r>
            <m:rPr>
              <m:sty m:val="p"/>
            </m:rPr>
            <m:t>,</m:t>
          </m:r>
          <m:r>
            <m:t>  </m:t>
          </m:r>
          <m:r>
            <m:t>x</m:t>
          </m:r>
          <m:r>
            <m:rPr>
              <m:sty m:val="p"/>
            </m:rPr>
            <m:t>≫</m:t>
          </m:r>
          <m:sSub>
            <m:e>
              <m:r>
                <m:t>x</m:t>
              </m:r>
            </m:e>
            <m:sub>
              <m:r>
                <m:t>0</m:t>
              </m:r>
            </m:sub>
          </m:sSub>
          <m:r>
            <m:rPr>
              <m:sty m:val="p"/>
            </m:rPr>
            <m:t>⇒</m:t>
          </m:r>
          <m:r>
            <m:t>f</m:t>
          </m:r>
          <m:d>
            <m:dPr>
              <m:begChr m:val="("/>
              <m:endChr m:val=")"/>
              <m:sepChr m:val=""/>
              <m:grow/>
            </m:dPr>
            <m:e>
              <m:r>
                <m:t>x</m:t>
              </m:r>
            </m:e>
          </m:d>
          <m:r>
            <m:rPr>
              <m:sty m:val="p"/>
            </m:rPr>
            <m:t>≈</m:t>
          </m:r>
          <m:r>
            <m:t>c</m:t>
          </m:r>
          <m:r>
            <m:rPr>
              <m:sty m:val="p"/>
            </m:rPr>
            <m:t>+</m:t>
          </m:r>
          <m:r>
            <m:t>L</m:t>
          </m:r>
          <m:r>
            <m:rPr>
              <m:sty m:val="p"/>
            </m:rPr>
            <m:t>.</m:t>
          </m:r>
        </m:oMath>
      </m:oMathPara>
    </w:p>
    <w:p>
      <w:pPr>
        <w:pStyle w:val="FirstParagraph"/>
      </w:pPr>
      <w:r>
        <w:t xml:space="preserve">Therefore</w:t>
      </w:r>
      <w:r>
        <w:t xml:space="preserve"> </w:t>
      </w:r>
      <m:oMath>
        <m:r>
          <m:t>c</m:t>
        </m:r>
      </m:oMath>
      <w:r>
        <w:t xml:space="preserve"> </w:t>
      </w:r>
      <w:r>
        <w:t xml:space="preserve">is the lower plateau,</w:t>
      </w:r>
      <w:r>
        <w:t xml:space="preserve"> </w:t>
      </w:r>
      <m:oMath>
        <m:r>
          <m:t>c</m:t>
        </m:r>
        <m:r>
          <m:rPr>
            <m:sty m:val="p"/>
          </m:rPr>
          <m:t>+</m:t>
        </m:r>
        <m:r>
          <m:t>L</m:t>
        </m:r>
      </m:oMath>
      <w:r>
        <w:t xml:space="preserve"> </w:t>
      </w:r>
      <w:r>
        <w:t xml:space="preserve">is the upper plateau,</w:t>
      </w:r>
      <w:r>
        <w:t xml:space="preserve"> </w:t>
      </w:r>
      <m:oMath>
        <m:sSub>
          <m:e>
            <m:r>
              <m:t>x</m:t>
            </m:r>
          </m:e>
          <m:sub>
            <m:r>
              <m:t>0</m:t>
            </m:r>
          </m:sub>
        </m:sSub>
      </m:oMath>
      <w:r>
        <w:t xml:space="preserve"> </w:t>
      </w:r>
      <w:r>
        <w:t xml:space="preserve">is the transition location, and</w:t>
      </w:r>
      <w:r>
        <w:t xml:space="preserve"> </w:t>
      </w:r>
      <m:oMath>
        <m:r>
          <m:t>k</m:t>
        </m:r>
      </m:oMath>
      <w:r>
        <w:t xml:space="preserve"> </w:t>
      </w:r>
      <w:r>
        <w:t xml:space="preserve">controls steepness.</w:t>
      </w:r>
    </w:p>
    <w:p>
      <w:pPr>
        <w:pStyle w:val="BodyText"/>
      </w:pPr>
      <w:r>
        <w:t xml:space="preserve">The optimizer is SciPy-free. It starts from heuristic initial values and performs a bounded coordinate search over</w:t>
      </w:r>
      <w:r>
        <w:t xml:space="preserve"> </w:t>
      </w:r>
      <m:oMath>
        <m:d>
          <m:dPr>
            <m:begChr m:val="("/>
            <m:endChr m:val=")"/>
            <m:sepChr m:val=""/>
            <m:grow/>
          </m:dPr>
          <m:e>
            <m:r>
              <m:t>L</m:t>
            </m:r>
            <m:r>
              <m:rPr>
                <m:sty m:val="p"/>
              </m:rPr>
              <m:t>,</m:t>
            </m:r>
            <m:r>
              <m:t>k</m:t>
            </m:r>
            <m:r>
              <m:rPr>
                <m:sty m:val="p"/>
              </m:rPr>
              <m:t>,</m:t>
            </m:r>
            <m:sSub>
              <m:e>
                <m:r>
                  <m:t>x</m:t>
                </m:r>
              </m:e>
              <m:sub>
                <m:r>
                  <m:t>0</m:t>
                </m:r>
              </m:sub>
            </m:sSub>
            <m:r>
              <m:rPr>
                <m:sty m:val="p"/>
              </m:rPr>
              <m:t>,</m:t>
            </m:r>
            <m:r>
              <m:t>c</m:t>
            </m:r>
          </m:e>
        </m:d>
      </m:oMath>
      <w:r>
        <w:t xml:space="preserve">, always keeping the parameter set with the lowest SSE. The fit can therefore be computed even in restricted environments where SciPy is unavailable. In the current script, logistic fitting is allowed when at least four matched points are available and logistic fitting is enabled.</w:t>
      </w:r>
    </w:p>
    <w:p>
      <w:pPr>
        <w:pStyle w:val="BodyText"/>
      </w:pPr>
      <w:r>
        <w:t xml:space="preserve">The code still evaluates an acceptance rule,</w:t>
      </w:r>
    </w:p>
    <w:p>
      <w:pPr>
        <w:pStyle w:val="BodyText"/>
      </w:pPr>
      <m:oMathPara>
        <m:oMathParaPr>
          <m:jc m:val="center"/>
        </m:oMathParaPr>
        <m:oMath>
          <m:r>
            <m:rPr>
              <m:nor/>
              <m:sty m:val="p"/>
            </m:rPr>
            <m:t>accept if </m:t>
          </m:r>
          <m:d>
            <m:dPr>
              <m:begChr m:val="("/>
              <m:endChr m:val=")"/>
              <m:sepChr m:val=""/>
              <m:grow/>
            </m:dPr>
            <m:e>
              <m:sSubSup>
                <m:e>
                  <m:r>
                    <m:t>R</m:t>
                  </m:r>
                </m:e>
                <m:sub>
                  <m:r>
                    <m:t>l</m:t>
                  </m:r>
                  <m:r>
                    <m:t>o</m:t>
                  </m:r>
                  <m:r>
                    <m:t>g</m:t>
                  </m:r>
                  <m:r>
                    <m:t>i</m:t>
                  </m:r>
                  <m:r>
                    <m:t>s</m:t>
                  </m:r>
                  <m:r>
                    <m:t>t</m:t>
                  </m:r>
                  <m:r>
                    <m:t>i</m:t>
                  </m:r>
                  <m:r>
                    <m:t>c</m:t>
                  </m:r>
                </m:sub>
                <m:sup>
                  <m:r>
                    <m:t>2</m:t>
                  </m:r>
                </m:sup>
              </m:sSubSup>
              <m:r>
                <m:rPr>
                  <m:sty m:val="p"/>
                </m:rPr>
                <m:t>≥</m:t>
              </m:r>
              <m:sSubSup>
                <m:e>
                  <m:r>
                    <m:t>R</m:t>
                  </m:r>
                </m:e>
                <m:sub>
                  <m:r>
                    <m:t>l</m:t>
                  </m:r>
                  <m:r>
                    <m:t>i</m:t>
                  </m:r>
                  <m:r>
                    <m:t>n</m:t>
                  </m:r>
                  <m:r>
                    <m:t>e</m:t>
                  </m:r>
                  <m:r>
                    <m:t>a</m:t>
                  </m:r>
                  <m:r>
                    <m:t>r</m:t>
                  </m:r>
                </m:sub>
                <m:sup>
                  <m:r>
                    <m:t>2</m:t>
                  </m:r>
                </m:sup>
              </m:sSubSup>
              <m:r>
                <m:rPr>
                  <m:sty m:val="p"/>
                </m:rPr>
                <m:t>+</m:t>
              </m:r>
              <m:r>
                <m:t>ε</m:t>
              </m:r>
            </m:e>
          </m:d>
          <m:r>
            <m:t> </m:t>
          </m:r>
          <m:r>
            <m:rPr>
              <m:nor/>
              <m:sty m:val="p"/>
            </m:rPr>
            <m:t>or</m:t>
          </m:r>
          <m:r>
            <m:t> </m:t>
          </m:r>
          <m:r>
            <m:t>A</m:t>
          </m:r>
          <m:r>
            <m:t>I</m:t>
          </m:r>
          <m:sSub>
            <m:e>
              <m:r>
                <m:t>C</m:t>
              </m:r>
            </m:e>
            <m:sub>
              <m:r>
                <m:t>l</m:t>
              </m:r>
              <m:r>
                <m:t>o</m:t>
              </m:r>
              <m:r>
                <m:t>g</m:t>
              </m:r>
              <m:r>
                <m:t>i</m:t>
              </m:r>
              <m:r>
                <m:t>s</m:t>
              </m:r>
              <m:r>
                <m:t>t</m:t>
              </m:r>
              <m:r>
                <m:t>i</m:t>
              </m:r>
              <m:r>
                <m:t>c</m:t>
              </m:r>
            </m:sub>
          </m:sSub>
          <m:r>
            <m:rPr>
              <m:sty m:val="p"/>
            </m:rPr>
            <m:t>&lt;</m:t>
          </m:r>
          <m:r>
            <m:t>A</m:t>
          </m:r>
          <m:r>
            <m:t>I</m:t>
          </m:r>
          <m:sSub>
            <m:e>
              <m:r>
                <m:t>C</m:t>
              </m:r>
            </m:e>
            <m:sub>
              <m:r>
                <m:t>l</m:t>
              </m:r>
              <m:r>
                <m:t>i</m:t>
              </m:r>
              <m:r>
                <m:t>n</m:t>
              </m:r>
              <m:r>
                <m:t>e</m:t>
              </m:r>
              <m:r>
                <m:t>a</m:t>
              </m:r>
              <m:r>
                <m:t>r</m:t>
              </m:r>
            </m:sub>
          </m:sSub>
          <m:r>
            <m:rPr>
              <m:sty m:val="p"/>
            </m:rPr>
            <m:t>,</m:t>
          </m:r>
        </m:oMath>
      </m:oMathPara>
    </w:p>
    <w:p>
      <w:pPr>
        <w:pStyle w:val="FirstParagraph"/>
      </w:pPr>
      <w:r>
        <w:t xml:space="preserve">with</w:t>
      </w:r>
      <w:r>
        <w:t xml:space="preserve"> </w:t>
      </w:r>
      <m:oMath>
        <m:r>
          <m:t>ε</m:t>
        </m:r>
        <m:r>
          <m:rPr>
            <m:sty m:val="p"/>
          </m:rPr>
          <m:t>=</m:t>
        </m:r>
        <m:r>
          <m:t>0.005</m:t>
        </m:r>
      </m:oMath>
      <w:r>
        <w:t xml:space="preserve"> </w:t>
      </w:r>
      <w:r>
        <w:t xml:space="preserve">in the current settings. In the current implementation this test is used as metadata for labels and summaries rather than as a gate that hides the computed logistic curve.</w:t>
      </w:r>
    </w:p>
    <w:bookmarkEnd w:id="32"/>
    <w:bookmarkEnd w:id="33"/>
    <w:bookmarkStart w:id="34" w:name="real-space-and-log-space-plot-families"/>
    <w:p>
      <w:pPr>
        <w:pStyle w:val="Heading1"/>
      </w:pPr>
      <w:r>
        <w:t xml:space="preserve">Real-space and log-space plot families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Plot family</w:t>
            </w:r>
          </w:p>
        </w:tc>
        <w:tc>
          <w:tcPr/>
          <w:p>
            <w:pPr>
              <w:pStyle w:val="Compact"/>
              <w:jc w:val="left"/>
            </w:pPr>
            <w:r>
              <w:rPr>
                <w:b/>
                <w:bCs/>
              </w:rPr>
              <w:t xml:space="preserve">Axes</w:t>
            </w:r>
          </w:p>
        </w:tc>
        <w:tc>
          <w:tcPr/>
          <w:p>
            <w:pPr>
              <w:pStyle w:val="Compact"/>
              <w:jc w:val="left"/>
            </w:pPr>
            <w:r>
              <w:rPr>
                <w:b/>
                <w:bCs/>
              </w:rPr>
              <w:t xml:space="preserve">Interpretation</w:t>
            </w:r>
          </w:p>
        </w:tc>
      </w:tr>
      <w:tr>
        <w:tc>
          <w:tcPr/>
          <w:p>
            <w:pPr>
              <w:pStyle w:val="Compact"/>
              <w:jc w:val="left"/>
            </w:pPr>
            <w:r>
              <w:t xml:space="preserve">RAW</w:t>
            </w:r>
          </w:p>
        </w:tc>
        <w:tc>
          <w:tcPr/>
          <w:p>
            <w:pPr>
              <w:pStyle w:val="Compact"/>
              <w:jc w:val="left"/>
            </w:pPr>
            <m:oMath>
              <m:r>
                <m:rPr>
                  <m:sty m:val="p"/>
                </m:rPr>
                <m:t>log</m:t>
              </m:r>
              <m:r>
                <m:t>ρ</m:t>
              </m:r>
            </m:oMath>
            <w:r>
              <w:t xml:space="preserve"> </w:t>
            </w:r>
            <w:r>
              <w:t xml:space="preserve">or</w:t>
            </w:r>
            <w:r>
              <w:t xml:space="preserve"> </w:t>
            </w:r>
            <m:oMath>
              <m:r>
                <m:rPr>
                  <m:sty m:val="p"/>
                </m:rPr>
                <m:t>log</m:t>
              </m:r>
              <m:r>
                <m:t>σ</m:t>
              </m:r>
            </m:oMath>
            <w:r>
              <w:t xml:space="preserve"> </w:t>
            </w:r>
            <w:r>
              <w:t xml:space="preserve">versus</w:t>
            </w:r>
            <w:r>
              <w:t xml:space="preserve"> </w:t>
            </w:r>
            <m:oMath>
              <m:r>
                <m:rPr>
                  <m:sty m:val="p"/>
                </m:rPr>
                <m:t>log</m:t>
              </m:r>
              <m:r>
                <m:t>S</m:t>
              </m:r>
            </m:oMath>
          </w:p>
        </w:tc>
        <w:tc>
          <w:tcPr/>
          <w:p>
            <w:pPr>
              <w:pStyle w:val="Compact"/>
              <w:jc w:val="left"/>
            </w:pPr>
            <w:r>
              <w:t xml:space="preserve">Classical exponent view; emphasizes approximately linear behavior in log-log space.</w:t>
            </w:r>
          </w:p>
        </w:tc>
      </w:tr>
      <w:tr>
        <w:tc>
          <w:tcPr/>
          <w:p>
            <w:pPr>
              <w:pStyle w:val="Compact"/>
              <w:jc w:val="left"/>
            </w:pPr>
            <w:r>
              <w:t xml:space="preserve">INDEX</w:t>
            </w:r>
          </w:p>
        </w:tc>
        <w:tc>
          <w:tcPr/>
          <w:p>
            <w:pPr>
              <w:pStyle w:val="Compact"/>
              <w:jc w:val="left"/>
            </w:pPr>
            <m:oMath>
              <m:r>
                <m:rPr>
                  <m:sty m:val="p"/>
                </m:rPr>
                <m:t>log</m:t>
              </m:r>
              <m:sSub>
                <m:e>
                  <m:r>
                    <m:t>R</m:t>
                  </m:r>
                </m:e>
                <m:sub>
                  <m:r>
                    <m:t>I</m:t>
                  </m:r>
                </m:sub>
              </m:sSub>
            </m:oMath>
            <w:r>
              <w:t xml:space="preserve"> </w:t>
            </w:r>
            <w:r>
              <w:t xml:space="preserve">or</w:t>
            </w:r>
            <w:r>
              <w:t xml:space="preserve"> </w:t>
            </w:r>
            <m:oMath>
              <m:r>
                <m:rPr>
                  <m:sty m:val="p"/>
                </m:rPr>
                <m:t>log</m:t>
              </m:r>
              <m:r>
                <m:t>I</m:t>
              </m:r>
              <m:r>
                <m:t>C</m:t>
              </m:r>
              <m:sSub>
                <m:e>
                  <m:r>
                    <m:t>I</m:t>
                  </m:r>
                </m:e>
                <m:sub>
                  <m:r>
                    <m:t>v</m:t>
                  </m:r>
                  <m:r>
                    <m:t>n</m:t>
                  </m:r>
                </m:sub>
              </m:sSub>
            </m:oMath>
            <w:r>
              <w:t xml:space="preserve"> </w:t>
            </w:r>
            <w:r>
              <w:t xml:space="preserve">versus</w:t>
            </w:r>
            <w:r>
              <w:t xml:space="preserve"> </w:t>
            </w:r>
            <m:oMath>
              <m:r>
                <m:rPr>
                  <m:sty m:val="p"/>
                </m:rPr>
                <m:t>log</m:t>
              </m:r>
              <m:r>
                <m:t>S</m:t>
              </m:r>
            </m:oMath>
          </w:p>
        </w:tc>
        <w:tc>
          <w:tcPr/>
          <w:p>
            <w:pPr>
              <w:pStyle w:val="Compact"/>
              <w:jc w:val="left"/>
            </w:pPr>
            <w:r>
              <w:t xml:space="preserve">Normalized response view anchored to the maximum-saturation reference row.</w:t>
            </w:r>
          </w:p>
        </w:tc>
      </w:tr>
      <w:tr>
        <w:tc>
          <w:tcPr/>
          <w:p>
            <w:pPr>
              <w:pStyle w:val="Compact"/>
              <w:jc w:val="left"/>
            </w:pPr>
            <w:r>
              <w:t xml:space="preserve">TARGET</w:t>
            </w:r>
          </w:p>
        </w:tc>
        <w:tc>
          <w:tcPr/>
          <w:p>
            <w:pPr>
              <w:pStyle w:val="Compact"/>
              <w:jc w:val="left"/>
            </w:pPr>
            <m:oMath>
              <m:r>
                <m:rPr>
                  <m:sty m:val="p"/>
                </m:rPr>
                <m:t>log</m:t>
              </m:r>
              <m:r>
                <m:t>R</m:t>
              </m:r>
              <m:sSub>
                <m:e>
                  <m:r>
                    <m:t>I</m:t>
                  </m:r>
                </m:e>
                <m:sub>
                  <m:r>
                    <m:t>v</m:t>
                  </m:r>
                  <m:r>
                    <m:t>n</m:t>
                  </m:r>
                </m:sub>
              </m:sSub>
            </m:oMath>
            <w:r>
              <w:t xml:space="preserve"> </w:t>
            </w:r>
            <w:r>
              <w:t xml:space="preserve">or</w:t>
            </w:r>
            <w:r>
              <w:t xml:space="preserve"> </w:t>
            </w:r>
            <m:oMath>
              <m:r>
                <m:rPr>
                  <m:sty m:val="p"/>
                </m:rPr>
                <m:t>log</m:t>
              </m:r>
              <m:r>
                <m:t>I</m:t>
              </m:r>
              <m:r>
                <m:t>C</m:t>
              </m:r>
              <m:sSub>
                <m:e>
                  <m:r>
                    <m:t>I</m:t>
                  </m:r>
                </m:e>
                <m:sub>
                  <m:r>
                    <m:t>v</m:t>
                  </m:r>
                  <m:r>
                    <m:t>n</m:t>
                  </m:r>
                </m:sub>
              </m:sSub>
            </m:oMath>
            <w:r>
              <w:t xml:space="preserve"> </w:t>
            </w:r>
            <w:r>
              <w:t xml:space="preserve">versus</w:t>
            </w:r>
            <w:r>
              <w:t xml:space="preserve"> </w:t>
            </w:r>
            <m:oMath>
              <m:r>
                <m:rPr>
                  <m:sty m:val="p"/>
                </m:rPr>
                <m:t>log</m:t>
              </m:r>
              <m:r>
                <m:t>S</m:t>
              </m:r>
            </m:oMath>
            <w:r>
              <w:t xml:space="preserve"> </w:t>
            </w:r>
            <w:r>
              <w:t xml:space="preserve">with zero intercept</w:t>
            </w:r>
          </w:p>
        </w:tc>
        <w:tc>
          <w:tcPr/>
          <w:p>
            <w:pPr>
              <w:pStyle w:val="Compact"/>
              <w:jc w:val="left"/>
            </w:pPr>
            <w:r>
              <w:t xml:space="preserve">Exponent-style target plot used for VN interpretation.</w:t>
            </w:r>
          </w:p>
        </w:tc>
      </w:tr>
      <w:tr>
        <w:tc>
          <w:tcPr/>
          <w:p>
            <w:pPr>
              <w:pStyle w:val="Compact"/>
              <w:jc w:val="left"/>
            </w:pPr>
            <w:r>
              <w:t xml:space="preserve">Diagnostics</w:t>
            </w:r>
          </w:p>
        </w:tc>
        <w:tc>
          <w:tcPr/>
          <w:p>
            <w:pPr>
              <w:pStyle w:val="Compact"/>
              <w:jc w:val="left"/>
            </w:pPr>
            <m:oMath>
              <m:r>
                <m:rPr>
                  <m:sty m:val="p"/>
                </m:rPr>
                <m:t>log</m:t>
              </m:r>
              <m:r>
                <m:t>ρ</m:t>
              </m:r>
            </m:oMath>
            <w:r>
              <w:t xml:space="preserve"> </w:t>
            </w:r>
            <w:r>
              <w:t xml:space="preserve">versus</w:t>
            </w:r>
            <w:r>
              <w:t xml:space="preserve"> </w:t>
            </w:r>
            <m:oMath>
              <m:r>
                <m:rPr>
                  <m:sty m:val="p"/>
                </m:rPr>
                <m:t>log</m:t>
              </m:r>
              <m:r>
                <m:t>S</m:t>
              </m:r>
            </m:oMath>
            <w:r>
              <w:t xml:space="preserve"> </w:t>
            </w:r>
            <w:r>
              <w:t xml:space="preserve">plus residual panels</w:t>
            </w:r>
          </w:p>
        </w:tc>
        <w:tc>
          <w:tcPr/>
          <w:p>
            <w:pPr>
              <w:pStyle w:val="Compact"/>
              <w:jc w:val="left"/>
            </w:pPr>
            <w:r>
              <w:t xml:space="preserve">Side-by-side check of linear and logistic behavior in the same transformed space.</w:t>
            </w:r>
          </w:p>
        </w:tc>
      </w:tr>
      <w:tr>
        <w:tc>
          <w:tcPr/>
          <w:p>
            <w:pPr>
              <w:pStyle w:val="Compact"/>
              <w:jc w:val="left"/>
            </w:pPr>
            <w:r>
              <w:t xml:space="preserve">Bundle REAL</w:t>
            </w:r>
          </w:p>
        </w:tc>
        <w:tc>
          <w:tcPr/>
          <w:p>
            <w:pPr>
              <w:pStyle w:val="Compact"/>
              <w:jc w:val="left"/>
            </w:pPr>
            <m:oMath>
              <m:r>
                <m:t>ρ</m:t>
              </m:r>
            </m:oMath>
            <w:r>
              <w:t xml:space="preserve"> </w:t>
            </w:r>
            <w:r>
              <w:t xml:space="preserve">or</w:t>
            </w:r>
            <w:r>
              <w:t xml:space="preserve"> </w:t>
            </w:r>
            <m:oMath>
              <m:r>
                <m:t>σ</m:t>
              </m:r>
            </m:oMath>
            <w:r>
              <w:t xml:space="preserve"> </w:t>
            </w:r>
            <w:r>
              <w:t xml:space="preserve">versus</w:t>
            </w:r>
            <w:r>
              <w:t xml:space="preserve"> </w:t>
            </w:r>
            <m:oMath>
              <m:r>
                <m:t>S</m:t>
              </m:r>
            </m:oMath>
          </w:p>
        </w:tc>
        <w:tc>
          <w:tcPr/>
          <w:p>
            <w:pPr>
              <w:pStyle w:val="Compact"/>
              <w:jc w:val="left"/>
            </w:pPr>
            <w:r>
              <w:t xml:space="preserve">Direct physical-space comparison of data, linear, polynomial, and logistic curves.</w:t>
            </w:r>
          </w:p>
        </w:tc>
      </w:tr>
      <w:tr>
        <w:tc>
          <w:tcPr/>
          <w:p>
            <w:pPr>
              <w:pStyle w:val="Compact"/>
              <w:jc w:val="left"/>
            </w:pPr>
            <w:r>
              <w:t xml:space="preserve">Bundle LOGLOG</w:t>
            </w:r>
          </w:p>
        </w:tc>
        <w:tc>
          <w:tcPr/>
          <w:p>
            <w:pPr>
              <w:pStyle w:val="Compact"/>
              <w:jc w:val="left"/>
            </w:pPr>
            <m:oMath>
              <m:r>
                <m:rPr>
                  <m:sty m:val="p"/>
                </m:rPr>
                <m:t>log</m:t>
              </m:r>
              <m:r>
                <m:t>ρ</m:t>
              </m:r>
            </m:oMath>
            <w:r>
              <w:t xml:space="preserve"> </w:t>
            </w:r>
            <w:r>
              <w:t xml:space="preserve">or</w:t>
            </w:r>
            <w:r>
              <w:t xml:space="preserve"> </w:t>
            </w:r>
            <m:oMath>
              <m:r>
                <m:rPr>
                  <m:sty m:val="p"/>
                </m:rPr>
                <m:t>log</m:t>
              </m:r>
              <m:r>
                <m:t>σ</m:t>
              </m:r>
            </m:oMath>
            <w:r>
              <w:t xml:space="preserve"> </w:t>
            </w:r>
            <w:r>
              <w:t xml:space="preserve">versus</w:t>
            </w:r>
            <w:r>
              <w:t xml:space="preserve"> </w:t>
            </w:r>
            <m:oMath>
              <m:r>
                <m:rPr>
                  <m:sty m:val="p"/>
                </m:rPr>
                <m:t>log</m:t>
              </m:r>
              <m:r>
                <m:t>S</m:t>
              </m:r>
            </m:oMath>
          </w:p>
        </w:tc>
        <w:tc>
          <w:tcPr/>
          <w:p>
            <w:pPr>
              <w:pStyle w:val="Compact"/>
              <w:jc w:val="left"/>
            </w:pPr>
            <w:r>
              <w:t xml:space="preserve">Expanded comparison in transformed space.</w:t>
            </w:r>
          </w:p>
        </w:tc>
      </w:tr>
    </w:tbl>
    <w:p>
      <w:pPr>
        <w:pStyle w:val="BodyText"/>
      </w:pPr>
      <w:r>
        <w:t xml:space="preserve">The real-space plots are usually the best place to assess whether the logistic model captures a rise-and-plateau saturation trend. The exponent plots remain useful when the main interest is slope-like behavior and continuity with earlier reporting styles. When</w:t>
      </w:r>
      <w:r>
        <w:t xml:space="preserve"> </w:t>
      </w:r>
      <w:r>
        <w:rPr>
          <w:rStyle w:val="VerbatimChar"/>
        </w:rPr>
        <w:t xml:space="preserve">–plot-equations</w:t>
      </w:r>
      <w:r>
        <w:t xml:space="preserve"> </w:t>
      </w:r>
      <w:r>
        <w:t xml:space="preserve">is enabled, equation labels are placed in the plot margin rather than on top of the data.</w:t>
      </w:r>
    </w:p>
    <w:bookmarkEnd w:id="34"/>
    <w:bookmarkStart w:id="35" w:name="output-files"/>
    <w:p>
      <w:pPr>
        <w:pStyle w:val="Heading1"/>
      </w:pPr>
      <w:r>
        <w:t xml:space="preserve">Output files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File pattern</w:t>
            </w:r>
          </w:p>
        </w:tc>
        <w:tc>
          <w:tcPr/>
          <w:p>
            <w:pPr>
              <w:pStyle w:val="Compact"/>
              <w:jc w:val="left"/>
            </w:pPr>
            <w:r>
              <w:rPr>
                <w:b/>
                <w:bCs/>
              </w:rPr>
              <w:t xml:space="preserve">Scope</w:t>
            </w:r>
          </w:p>
        </w:tc>
        <w:tc>
          <w:tcPr/>
          <w:p>
            <w:pPr>
              <w:pStyle w:val="Compact"/>
              <w:jc w:val="left"/>
            </w:pPr>
            <w:r>
              <w:rPr>
                <w:b/>
                <w:bCs/>
              </w:rPr>
              <w:t xml:space="preserve">Meaning</w:t>
            </w:r>
          </w:p>
        </w:tc>
      </w:tr>
      <w:tr>
        <w:tc>
          <w:tcPr/>
          <w:p>
            <w:pPr>
              <w:pStyle w:val="Compact"/>
              <w:jc w:val="left"/>
            </w:pPr>
            <w:r>
              <w:rPr>
                <w:rStyle w:val="VerbatimChar"/>
              </w:rPr>
              <w:t xml:space="preserve">debug_before_filter_&lt;tag&gt;Hz__&lt;mode&gt;.csv</w:t>
            </w:r>
          </w:p>
        </w:tc>
        <w:tc>
          <w:tcPr/>
          <w:p>
            <w:pPr>
              <w:pStyle w:val="Compact"/>
              <w:jc w:val="left"/>
            </w:pPr>
            <w:r>
              <w:t xml:space="preserve">Per run, per mode</w:t>
            </w:r>
          </w:p>
        </w:tc>
        <w:tc>
          <w:tcPr/>
          <w:p>
            <w:pPr>
              <w:pStyle w:val="Compact"/>
              <w:jc w:val="left"/>
            </w:pPr>
            <w:r>
              <w:t xml:space="preserve">Merged data before log-domain filtering.</w:t>
            </w:r>
          </w:p>
        </w:tc>
      </w:tr>
      <w:tr>
        <w:tc>
          <w:tcPr/>
          <w:p>
            <w:pPr>
              <w:pStyle w:val="Compact"/>
              <w:jc w:val="left"/>
            </w:pPr>
            <w:r>
              <w:rPr>
                <w:rStyle w:val="VerbatimChar"/>
              </w:rPr>
              <w:t xml:space="preserve">dropped_rows_&lt;tag&gt;Hz__&lt;mode&gt;.csv</w:t>
            </w:r>
          </w:p>
        </w:tc>
        <w:tc>
          <w:tcPr/>
          <w:p>
            <w:pPr>
              <w:pStyle w:val="Compact"/>
              <w:jc w:val="left"/>
            </w:pPr>
            <w:r>
              <w:t xml:space="preserve">Per run, per mode</w:t>
            </w:r>
          </w:p>
        </w:tc>
        <w:tc>
          <w:tcPr/>
          <w:p>
            <w:pPr>
              <w:pStyle w:val="Compact"/>
              <w:jc w:val="left"/>
            </w:pPr>
            <w:r>
              <w:t xml:space="preserve">Rows rejected because one or more logged quantities were invalid.</w:t>
            </w:r>
          </w:p>
        </w:tc>
      </w:tr>
      <w:tr>
        <w:tc>
          <w:tcPr/>
          <w:p>
            <w:pPr>
              <w:pStyle w:val="Compact"/>
              <w:jc w:val="left"/>
            </w:pPr>
            <w:r>
              <w:rPr>
                <w:rStyle w:val="VerbatimChar"/>
              </w:rPr>
              <w:t xml:space="preserve">joined__&lt;mode&gt;_&lt;tag&gt;Hz.csv</w:t>
            </w:r>
          </w:p>
        </w:tc>
        <w:tc>
          <w:tcPr/>
          <w:p>
            <w:pPr>
              <w:pStyle w:val="Compact"/>
              <w:jc w:val="left"/>
            </w:pPr>
            <w:r>
              <w:t xml:space="preserve">Per run, per mode</w:t>
            </w:r>
          </w:p>
        </w:tc>
        <w:tc>
          <w:tcPr/>
          <w:p>
            <w:pPr>
              <w:pStyle w:val="Compact"/>
              <w:jc w:val="left"/>
            </w:pPr>
            <w:r>
              <w:t xml:space="preserve">Main analysis table containing raw values, transformed values, and fitted curves.</w:t>
            </w:r>
          </w:p>
        </w:tc>
      </w:tr>
      <w:tr>
        <w:tc>
          <w:tcPr/>
          <w:p>
            <w:pPr>
              <w:pStyle w:val="Compact"/>
              <w:jc w:val="left"/>
            </w:pPr>
            <w:r>
              <w:rPr>
                <w:rStyle w:val="VerbatimChar"/>
              </w:rPr>
              <w:t xml:space="preserve">joined_&lt;tag&gt;Hz.csv</w:t>
            </w:r>
          </w:p>
        </w:tc>
        <w:tc>
          <w:tcPr/>
          <w:p>
            <w:pPr>
              <w:pStyle w:val="Compact"/>
              <w:jc w:val="left"/>
            </w:pPr>
            <w:r>
              <w:t xml:space="preserve">Per run, normalized mode</w:t>
            </w:r>
          </w:p>
        </w:tc>
        <w:tc>
          <w:tcPr/>
          <w:p>
            <w:pPr>
              <w:pStyle w:val="Compact"/>
              <w:jc w:val="left"/>
            </w:pPr>
            <w:r>
              <w:t xml:space="preserve">Legacy alias of the normalized joined file.</w:t>
            </w:r>
          </w:p>
        </w:tc>
      </w:tr>
      <w:tr>
        <w:tc>
          <w:tcPr/>
          <w:p>
            <w:pPr>
              <w:pStyle w:val="Compact"/>
              <w:jc w:val="left"/>
            </w:pPr>
            <w:r>
              <w:rPr>
                <w:rStyle w:val="VerbatimChar"/>
              </w:rPr>
              <w:t xml:space="preserve">Results_Summary_&lt;tag&gt;Hz.csv/.xlsx</w:t>
            </w:r>
          </w:p>
        </w:tc>
        <w:tc>
          <w:tcPr/>
          <w:p>
            <w:pPr>
              <w:pStyle w:val="Compact"/>
              <w:jc w:val="left"/>
            </w:pPr>
            <w:r>
              <w:t xml:space="preserve">Campaign-wide</w:t>
            </w:r>
          </w:p>
        </w:tc>
        <w:tc>
          <w:tcPr/>
          <w:p>
            <w:pPr>
              <w:pStyle w:val="Compact"/>
              <w:jc w:val="left"/>
            </w:pPr>
            <w:r>
              <w:t xml:space="preserve">One summary row per run and mode, including counts and logistic status fields.</w:t>
            </w:r>
          </w:p>
        </w:tc>
      </w:tr>
      <w:tr>
        <w:tc>
          <w:tcPr/>
          <w:p>
            <w:pPr>
              <w:pStyle w:val="Compact"/>
              <w:jc w:val="left"/>
            </w:pPr>
            <w:r>
              <w:rPr>
                <w:rStyle w:val="VerbatimChar"/>
              </w:rPr>
              <w:t xml:space="preserve">all_values_&lt;tag&gt;Hz.xlsx</w:t>
            </w:r>
          </w:p>
        </w:tc>
        <w:tc>
          <w:tcPr/>
          <w:p>
            <w:pPr>
              <w:pStyle w:val="Compact"/>
              <w:jc w:val="left"/>
            </w:pPr>
            <w:r>
              <w:t xml:space="preserve">Per run and campaign-wide</w:t>
            </w:r>
          </w:p>
        </w:tc>
        <w:tc>
          <w:tcPr/>
          <w:p>
            <w:pPr>
              <w:pStyle w:val="Compact"/>
              <w:jc w:val="left"/>
            </w:pPr>
            <w:r>
              <w:t xml:space="preserve">Complete accumulation of all rows with derived columns plus an equations worksheet.</w:t>
            </w:r>
          </w:p>
        </w:tc>
      </w:tr>
      <w:tr>
        <w:tc>
          <w:tcPr/>
          <w:p>
            <w:pPr>
              <w:pStyle w:val="Compact"/>
              <w:jc w:val="left"/>
            </w:pPr>
            <w:r>
              <w:rPr>
                <w:rStyle w:val="VerbatimChar"/>
              </w:rPr>
              <w:t xml:space="preserve">Results__backup_&lt;timestamp&gt;/</w:t>
            </w:r>
          </w:p>
        </w:tc>
        <w:tc>
          <w:tcPr/>
          <w:p>
            <w:pPr>
              <w:pStyle w:val="Compact"/>
              <w:jc w:val="left"/>
            </w:pPr>
            <w:r>
              <w:t xml:space="preserve">Per run, optional</w:t>
            </w:r>
          </w:p>
        </w:tc>
        <w:tc>
          <w:tcPr/>
          <w:p>
            <w:pPr>
              <w:pStyle w:val="Compact"/>
              <w:jc w:val="left"/>
            </w:pPr>
            <w:r>
              <w:t xml:space="preserve">Backup copy of a previous</w:t>
            </w:r>
            <w:r>
              <w:t xml:space="preserve"> </w:t>
            </w:r>
            <w:r>
              <w:rPr>
                <w:rStyle w:val="VerbatimChar"/>
              </w:rPr>
              <w:t xml:space="preserve">Results/</w:t>
            </w:r>
            <w:r>
              <w:t xml:space="preserve"> </w:t>
            </w:r>
            <w:r>
              <w:t xml:space="preserve">folder created by</w:t>
            </w:r>
            <w:r>
              <w:t xml:space="preserve"> </w:t>
            </w:r>
            <w:r>
              <w:rPr>
                <w:rStyle w:val="VerbatimChar"/>
              </w:rPr>
              <w:t xml:space="preserve">–clean-results</w:t>
            </w:r>
            <w:r>
              <w:t xml:space="preserve">.</w:t>
            </w:r>
          </w:p>
        </w:tc>
      </w:tr>
    </w:tbl>
    <w:bookmarkEnd w:id="35"/>
    <w:bookmarkStart w:id="37" w:name="command-line-interface"/>
    <w:p>
      <w:pPr>
        <w:pStyle w:val="Heading1"/>
      </w:pPr>
      <w:r>
        <w:t xml:space="preserve">Command-line interface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Argument</w:t>
            </w:r>
          </w:p>
        </w:tc>
        <w:tc>
          <w:tcPr/>
          <w:p>
            <w:pPr>
              <w:pStyle w:val="Compact"/>
              <w:jc w:val="left"/>
            </w:pPr>
            <w:r>
              <w:rPr>
                <w:b/>
                <w:bCs/>
              </w:rPr>
              <w:t xml:space="preserve">Meaning</w:t>
            </w:r>
          </w:p>
        </w:tc>
      </w:tr>
      <w:tr>
        <w:tc>
          <w:tcPr/>
          <w:p>
            <w:pPr>
              <w:pStyle w:val="Compact"/>
              <w:jc w:val="left"/>
            </w:pPr>
            <w:r>
              <w:rPr>
                <w:rStyle w:val="VerbatimChar"/>
              </w:rPr>
              <w:t xml:space="preserve">top</w:t>
            </w:r>
          </w:p>
        </w:tc>
        <w:tc>
          <w:tcPr/>
          <w:p>
            <w:pPr>
              <w:pStyle w:val="Compact"/>
              <w:jc w:val="left"/>
            </w:pPr>
            <w:r>
              <w:t xml:space="preserve">Top folder that contains run subfolders.</w:t>
            </w:r>
          </w:p>
        </w:tc>
      </w:tr>
      <w:tr>
        <w:tc>
          <w:tcPr/>
          <w:p>
            <w:pPr>
              <w:pStyle w:val="Compact"/>
              <w:jc w:val="left"/>
            </w:pPr>
            <w:r>
              <w:rPr>
                <w:rStyle w:val="VerbatimChar"/>
              </w:rPr>
              <w:t xml:space="preserve">–freq</w:t>
            </w:r>
          </w:p>
        </w:tc>
        <w:tc>
          <w:tcPr/>
          <w:p>
            <w:pPr>
              <w:pStyle w:val="Compact"/>
              <w:jc w:val="left"/>
            </w:pPr>
            <w:r>
              <w:t xml:space="preserve">Target frequency used to choose one row from each SIP sheet.</w:t>
            </w:r>
          </w:p>
        </w:tc>
      </w:tr>
      <w:tr>
        <w:tc>
          <w:tcPr/>
          <w:p>
            <w:pPr>
              <w:pStyle w:val="Compact"/>
              <w:jc w:val="left"/>
            </w:pPr>
            <w:r>
              <w:rPr>
                <w:rStyle w:val="VerbatimChar"/>
              </w:rPr>
              <w:t xml:space="preserve">–sample</w:t>
            </w:r>
          </w:p>
        </w:tc>
        <w:tc>
          <w:tcPr/>
          <w:p>
            <w:pPr>
              <w:pStyle w:val="Compact"/>
              <w:jc w:val="left"/>
            </w:pPr>
            <w:r>
              <w:t xml:space="preserve">Optional substring filter applied to SIP sheet names.</w:t>
            </w:r>
          </w:p>
        </w:tc>
      </w:tr>
      <w:tr>
        <w:tc>
          <w:tcPr/>
          <w:p>
            <w:pPr>
              <w:pStyle w:val="Compact"/>
              <w:jc w:val="left"/>
            </w:pPr>
            <w:r>
              <w:rPr>
                <w:rStyle w:val="VerbatimChar"/>
              </w:rPr>
              <w:t xml:space="preserve">–min-points</w:t>
            </w:r>
          </w:p>
        </w:tc>
        <w:tc>
          <w:tcPr/>
          <w:p>
            <w:pPr>
              <w:pStyle w:val="Compact"/>
              <w:jc w:val="left"/>
            </w:pPr>
            <w:r>
              <w:t xml:space="preserve">Minimum valid matched points needed before a run is accepted.</w:t>
            </w:r>
          </w:p>
        </w:tc>
      </w:tr>
      <w:tr>
        <w:tc>
          <w:tcPr/>
          <w:p>
            <w:pPr>
              <w:pStyle w:val="Compact"/>
              <w:jc w:val="left"/>
            </w:pPr>
            <w:r>
              <w:rPr>
                <w:rStyle w:val="VerbatimChar"/>
              </w:rPr>
              <w:t xml:space="preserve">–max-df</w:t>
            </w:r>
          </w:p>
        </w:tc>
        <w:tc>
          <w:tcPr/>
          <w:p>
            <w:pPr>
              <w:pStyle w:val="Compact"/>
              <w:jc w:val="left"/>
            </w:pPr>
            <w:r>
              <w:t xml:space="preserve">Optional maximum frequency mismatch; 0 disables this filter.</w:t>
            </w:r>
          </w:p>
        </w:tc>
      </w:tr>
      <w:tr>
        <w:tc>
          <w:tcPr/>
          <w:p>
            <w:pPr>
              <w:pStyle w:val="Compact"/>
              <w:jc w:val="left"/>
            </w:pPr>
            <w:r>
              <w:rPr>
                <w:rStyle w:val="VerbatimChar"/>
              </w:rPr>
              <w:t xml:space="preserve">–clean-results</w:t>
            </w:r>
          </w:p>
        </w:tc>
        <w:tc>
          <w:tcPr/>
          <w:p>
            <w:pPr>
              <w:pStyle w:val="Compact"/>
              <w:jc w:val="left"/>
            </w:pPr>
            <w:r>
              <w:t xml:space="preserve">Back up</w:t>
            </w:r>
            <w:r>
              <w:t xml:space="preserve"> </w:t>
            </w:r>
            <w:r>
              <w:rPr>
                <w:rStyle w:val="VerbatimChar"/>
              </w:rPr>
              <w:t xml:space="preserve">Results/</w:t>
            </w:r>
            <w:r>
              <w:t xml:space="preserve"> </w:t>
            </w:r>
            <w:r>
              <w:t xml:space="preserve">before writing new outputs.</w:t>
            </w:r>
          </w:p>
        </w:tc>
      </w:tr>
      <w:tr>
        <w:tc>
          <w:tcPr/>
          <w:p>
            <w:pPr>
              <w:pStyle w:val="Compact"/>
              <w:jc w:val="left"/>
            </w:pPr>
            <w:r>
              <w:rPr>
                <w:rStyle w:val="VerbatimChar"/>
              </w:rPr>
              <w:t xml:space="preserve">–purge-backups</w:t>
            </w:r>
          </w:p>
        </w:tc>
        <w:tc>
          <w:tcPr/>
          <w:p>
            <w:pPr>
              <w:pStyle w:val="Compact"/>
              <w:jc w:val="left"/>
            </w:pPr>
            <w:r>
              <w:t xml:space="preserve">Delete existing</w:t>
            </w:r>
            <w:r>
              <w:t xml:space="preserve"> </w:t>
            </w:r>
            <w:r>
              <w:rPr>
                <w:rStyle w:val="VerbatimChar"/>
              </w:rPr>
              <w:t xml:space="preserve">Results__backup_*</w:t>
            </w:r>
            <w:r>
              <w:t xml:space="preserve"> </w:t>
            </w:r>
            <w:r>
              <w:t xml:space="preserve">folders inside each run before processing.</w:t>
            </w:r>
          </w:p>
        </w:tc>
      </w:tr>
      <w:tr>
        <w:tc>
          <w:tcPr/>
          <w:p>
            <w:pPr>
              <w:pStyle w:val="Compact"/>
              <w:jc w:val="left"/>
            </w:pPr>
            <w:r>
              <w:rPr>
                <w:rStyle w:val="VerbatimChar"/>
              </w:rPr>
              <w:t xml:space="preserve">–ici-mode</w:t>
            </w:r>
          </w:p>
        </w:tc>
        <w:tc>
          <w:tcPr/>
          <w:p>
            <w:pPr>
              <w:pStyle w:val="Compact"/>
              <w:jc w:val="left"/>
            </w:pPr>
            <w:r>
              <w:t xml:space="preserve">Selects the sign convention for the normalized conductivity index.</w:t>
            </w:r>
          </w:p>
        </w:tc>
      </w:tr>
      <w:tr>
        <w:tc>
          <w:tcPr/>
          <w:p>
            <w:pPr>
              <w:pStyle w:val="Compact"/>
              <w:jc w:val="left"/>
            </w:pPr>
            <w:r>
              <w:rPr>
                <w:rStyle w:val="VerbatimChar"/>
              </w:rPr>
              <w:t xml:space="preserve">–poly-deg</w:t>
            </w:r>
          </w:p>
        </w:tc>
        <w:tc>
          <w:tcPr/>
          <w:p>
            <w:pPr>
              <w:pStyle w:val="Compact"/>
              <w:jc w:val="left"/>
            </w:pPr>
            <w:r>
              <w:t xml:space="preserve">Polynomial degree; values</w:t>
            </w:r>
            <w:r>
              <w:t xml:space="preserve"> </w:t>
            </w:r>
            <m:oMath>
              <m:r>
                <m:rPr>
                  <m:sty m:val="p"/>
                </m:rPr>
                <m:t>≥</m:t>
              </m:r>
              <m:r>
                <m:t>2</m:t>
              </m:r>
            </m:oMath>
            <w:r>
              <w:t xml:space="preserve"> </w:t>
            </w:r>
            <w:r>
              <w:t xml:space="preserve">activate polynomial bundle curves.</w:t>
            </w:r>
          </w:p>
        </w:tc>
      </w:tr>
      <w:tr>
        <w:tc>
          <w:tcPr/>
          <w:p>
            <w:pPr>
              <w:pStyle w:val="Compact"/>
              <w:jc w:val="left"/>
            </w:pPr>
            <w:r>
              <w:rPr>
                <w:rStyle w:val="VerbatimChar"/>
              </w:rPr>
              <w:t xml:space="preserve">–poly-raw</w:t>
            </w:r>
          </w:p>
        </w:tc>
        <w:tc>
          <w:tcPr/>
          <w:p>
            <w:pPr>
              <w:pStyle w:val="Compact"/>
              <w:jc w:val="left"/>
            </w:pPr>
            <w:r>
              <w:t xml:space="preserve">Compatibility flag retained for legacy runner usage.</w:t>
            </w:r>
          </w:p>
        </w:tc>
      </w:tr>
      <w:tr>
        <w:tc>
          <w:tcPr/>
          <w:p>
            <w:pPr>
              <w:pStyle w:val="Compact"/>
              <w:jc w:val="left"/>
            </w:pPr>
            <w:r>
              <w:rPr>
                <w:rStyle w:val="VerbatimChar"/>
              </w:rPr>
              <w:t xml:space="preserve">–logistic-fast</w:t>
            </w:r>
          </w:p>
        </w:tc>
        <w:tc>
          <w:tcPr/>
          <w:p>
            <w:pPr>
              <w:pStyle w:val="Compact"/>
              <w:jc w:val="left"/>
            </w:pPr>
            <w:r>
              <w:t xml:space="preserve">Enables the SciPy-free logistic search routine.</w:t>
            </w:r>
          </w:p>
        </w:tc>
      </w:tr>
      <w:tr>
        <w:tc>
          <w:tcPr/>
          <w:p>
            <w:pPr>
              <w:pStyle w:val="Compact"/>
              <w:jc w:val="left"/>
            </w:pPr>
            <w:r>
              <w:rPr>
                <w:rStyle w:val="VerbatimChar"/>
              </w:rPr>
              <w:t xml:space="preserve">–logistic-max-seconds</w:t>
            </w:r>
          </w:p>
        </w:tc>
        <w:tc>
          <w:tcPr/>
          <w:p>
            <w:pPr>
              <w:pStyle w:val="Compact"/>
              <w:jc w:val="left"/>
            </w:pPr>
            <w:r>
              <w:t xml:space="preserve">Time limit per logistic fit.</w:t>
            </w:r>
          </w:p>
        </w:tc>
      </w:tr>
      <w:tr>
        <w:tc>
          <w:tcPr/>
          <w:p>
            <w:pPr>
              <w:pStyle w:val="Compact"/>
              <w:jc w:val="left"/>
            </w:pPr>
            <w:r>
              <w:rPr>
                <w:rStyle w:val="VerbatimChar"/>
              </w:rPr>
              <w:t xml:space="preserve">–logistic4</w:t>
            </w:r>
          </w:p>
        </w:tc>
        <w:tc>
          <w:tcPr/>
          <w:p>
            <w:pPr>
              <w:pStyle w:val="Compact"/>
              <w:jc w:val="left"/>
            </w:pPr>
            <w:r>
              <w:t xml:space="preserve">Turns on four-parameter logistic fitting.</w:t>
            </w:r>
          </w:p>
        </w:tc>
      </w:tr>
      <w:tr>
        <w:tc>
          <w:tcPr/>
          <w:p>
            <w:pPr>
              <w:pStyle w:val="Compact"/>
              <w:jc w:val="left"/>
            </w:pPr>
            <w:r>
              <w:rPr>
                <w:rStyle w:val="VerbatimChar"/>
              </w:rPr>
              <w:t xml:space="preserve">–plot-equations</w:t>
            </w:r>
          </w:p>
        </w:tc>
        <w:tc>
          <w:tcPr/>
          <w:p>
            <w:pPr>
              <w:pStyle w:val="Compact"/>
              <w:jc w:val="left"/>
            </w:pPr>
            <w:r>
              <w:t xml:space="preserve">Add fitted-equation annotations to plot margins; Excel equation sheets are written regardless.</w:t>
            </w:r>
          </w:p>
        </w:tc>
      </w:tr>
      <w:tr>
        <w:tc>
          <w:tcPr/>
          <w:p>
            <w:pPr>
              <w:pStyle w:val="Compact"/>
              <w:jc w:val="left"/>
            </w:pPr>
            <w:r>
              <w:rPr>
                <w:rStyle w:val="VerbatimChar"/>
              </w:rPr>
              <w:t xml:space="preserve">–both-modes</w:t>
            </w:r>
          </w:p>
        </w:tc>
        <w:tc>
          <w:tcPr/>
          <w:p>
            <w:pPr>
              <w:pStyle w:val="Compact"/>
              <w:jc w:val="left"/>
            </w:pPr>
            <w:r>
              <w:t xml:space="preserve">Processes normalized and unnormalized modes in one call.</w:t>
            </w:r>
          </w:p>
        </w:tc>
      </w:tr>
    </w:tbl>
    <w:bookmarkStart w:id="36" w:name="example-command"/>
    <w:p>
      <w:pPr>
        <w:pStyle w:val="Heading2"/>
      </w:pPr>
      <w:r>
        <w:t xml:space="preserve">Example command</w:t>
      </w:r>
    </w:p>
    <w:p>
      <w:pPr>
        <w:pStyle w:val="SourceCode"/>
      </w:pPr>
      <w:r>
        <w:rPr>
          <w:rStyle w:val="VerbatimChar"/>
        </w:rPr>
        <w:t xml:space="preserve">python3 sip_pipeline.py "/mnt/3rd900/Projects/LA Project new/For_LBNL/SIP" \</w:t>
      </w:r>
      <w:r>
        <w:br/>
      </w:r>
      <w:r>
        <w:rPr>
          <w:rStyle w:val="VerbatimChar"/>
        </w:rPr>
        <w:t xml:space="preserve">  --clean-results --purge-backups --both-modes \</w:t>
      </w:r>
      <w:r>
        <w:br/>
      </w:r>
      <w:r>
        <w:rPr>
          <w:rStyle w:val="VerbatimChar"/>
        </w:rPr>
        <w:t xml:space="preserve">  --freq 0.01 --min-points 4 \</w:t>
      </w:r>
      <w:r>
        <w:br/>
      </w:r>
      <w:r>
        <w:rPr>
          <w:rStyle w:val="VerbatimChar"/>
        </w:rPr>
        <w:t xml:space="preserve">  --logistic-fast --logistic-max-seconds 20 \</w:t>
      </w:r>
      <w:r>
        <w:br/>
      </w:r>
      <w:r>
        <w:rPr>
          <w:rStyle w:val="VerbatimChar"/>
        </w:rPr>
        <w:t xml:space="preserve">  --ici-mode sig_over_sigref \</w:t>
      </w:r>
      <w:r>
        <w:br/>
      </w:r>
      <w:r>
        <w:rPr>
          <w:rStyle w:val="VerbatimChar"/>
        </w:rPr>
        <w:t xml:space="preserve">  --poly-deg 2 --poly-raw \</w:t>
      </w:r>
      <w:r>
        <w:br/>
      </w:r>
      <w:r>
        <w:rPr>
          <w:rStyle w:val="VerbatimChar"/>
        </w:rPr>
        <w:t xml:space="preserve">  --logistic4</w:t>
      </w:r>
    </w:p>
    <w:bookmarkEnd w:id="36"/>
    <w:bookmarkEnd w:id="37"/>
    <w:bookmarkStart w:id="38" w:name="interpretation-notes"/>
    <w:p>
      <w:pPr>
        <w:pStyle w:val="Heading1"/>
      </w:pPr>
      <w:r>
        <w:t xml:space="preserve">Interpretation notes</w:t>
      </w:r>
    </w:p>
    <w:p>
      <w:pPr>
        <w:pStyle w:val="FirstParagraph"/>
      </w:pPr>
      <w:r>
        <w:t xml:space="preserve">A useful reading strategy is to separate physical interpretation from model bookkeeping. The linear and through-origin fits support exponent-style reporting and continuity with earlier workflows. The polynomial fit is a flexible diagnostic smoother. The logistic fit is the main nonlinear candidate for responses that show a rapid rise followed by a plateau. The acceptance flag should therefore be read as a comparison result, not as a statement that the logistic curve failed to compute.</w:t>
      </w:r>
    </w:p>
    <w:p>
      <w:pPr>
        <w:pStyle w:val="BodyText"/>
      </w:pPr>
      <w:r>
        <w:t xml:space="preserve">When only four to six matched points are available, AIC can penalize the logistic model strongly because it carries four parameters. For that reason, the bundle plots and diagnostic plots remain important even when the formal acceptance flag says</w:t>
      </w:r>
      <w:r>
        <w:t xml:space="preserve"> </w:t>
      </w:r>
      <w:r>
        <w:t xml:space="preserve">“</w:t>
      </w:r>
      <w:r>
        <w:t xml:space="preserve">rejected.</w:t>
      </w:r>
      <w:r>
        <w:t xml:space="preserve">”</w:t>
      </w:r>
      <w:r>
        <w:t xml:space="preserve"> </w:t>
      </w:r>
      <w:r>
        <w:t xml:space="preserve">The computed curve may still be physically informative.</w:t>
      </w:r>
    </w:p>
    <w:p>
      <w:pPr>
        <w:pStyle w:val="BodyText"/>
      </w:pPr>
      <w:r>
        <w:t xml:space="preserve">The equations worksheet in the Excel outputs is intended to be the canonical place to review fitted forms across runs. Plot equations are optional because they are helpful for inspection but can make figures visually busier. Backup folders are also optional operational artifacts:</w:t>
      </w:r>
      <w:r>
        <w:t xml:space="preserve"> </w:t>
      </w:r>
      <w:r>
        <w:rPr>
          <w:rStyle w:val="VerbatimChar"/>
        </w:rPr>
        <w:t xml:space="preserve">–clean-results</w:t>
      </w:r>
      <w:r>
        <w:t xml:space="preserve"> </w:t>
      </w:r>
      <w:r>
        <w:t xml:space="preserve">preserves previous outputs, while</w:t>
      </w:r>
      <w:r>
        <w:t xml:space="preserve"> </w:t>
      </w:r>
      <w:r>
        <w:rPr>
          <w:rStyle w:val="VerbatimChar"/>
        </w:rPr>
        <w:t xml:space="preserve">–purge-backups</w:t>
      </w:r>
      <w:r>
        <w:t xml:space="preserve"> </w:t>
      </w:r>
      <w:r>
        <w:t xml:space="preserve">removes older backup folders when a cleaner run directory is preferred.</w:t>
      </w:r>
    </w:p>
    <w:bookmarkEnd w:id="38"/>
    <w:bookmarkStart w:id="39" w:name="short-summary"/>
    <w:p>
      <w:pPr>
        <w:pStyle w:val="Heading1"/>
      </w:pPr>
      <w:r>
        <w:t xml:space="preserve">Short summary</w:t>
      </w:r>
    </w:p>
    <w:p>
      <w:pPr>
        <w:pStyle w:val="FirstParagraph"/>
      </w:pPr>
      <w:r>
        <w:t xml:space="preserve">The pipeline is a robust batch-analysis tool for SIP column experiments. It combines workbook discovery, identifier matching, saturation reconstruction, log-domain and real-domain transforms, and four families of fit models into one repeatable workflow. Its outputs are suitable for debugging, method comparison, and direct scientific interpretation.</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2026-03-06T17:17:03Z</dcterms:created>
  <dcterms:modified xsi:type="dcterms:W3CDTF">2026-03-06T17:17:03Z</dcterms:modified>
</cp:coreProperties>
</file>

<file path=docProps/custom.xml><?xml version="1.0" encoding="utf-8"?>
<Properties xmlns="http://schemas.openxmlformats.org/officeDocument/2006/custom-properties" xmlns:vt="http://schemas.openxmlformats.org/officeDocument/2006/docPropsVTypes"/>
</file>