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6ED5C2">
      <w:pPr>
        <w:pStyle w:val="31"/>
        <w:jc w:val="center"/>
      </w:pPr>
      <w:r>
        <w:t>BudgetLoop</w:t>
      </w:r>
    </w:p>
    <w:p w14:paraId="3E9019CB">
      <w:pPr>
        <w:pStyle w:val="31"/>
        <w:spacing w:after="240"/>
        <w:jc w:val="center"/>
      </w:pPr>
      <w:r>
        <w:t>可治理的专业 Agent 团队控制面</w:t>
      </w:r>
    </w:p>
    <w:p w14:paraId="017446B8">
      <w:pPr>
        <w:pStyle w:val="26"/>
        <w:jc w:val="center"/>
      </w:pPr>
      <w:r>
        <w:t>智能选型 · Session 互通 · 专业 Skills · 预算审计 · 人工介入</w:t>
      </w:r>
    </w:p>
    <w:p w14:paraId="07F3BD1D"/>
    <w:p w14:paraId="7E13ADC1"/>
    <w:p w14:paraId="7947FE3C">
      <w:pPr>
        <w:keepNext w:val="0"/>
        <w:keepLines/>
        <w:pBdr>
          <w:left w:val="single" w:color="15956A" w:sz="18" w:space="10"/>
        </w:pBdr>
        <w:shd w:val="clear" w:fill="EEF9F5"/>
        <w:spacing w:before="40" w:after="360" w:line="276" w:lineRule="auto"/>
        <w:jc w:val="left"/>
        <w:rPr>
          <w:rFonts w:ascii="Arial Unicode MS" w:hAnsi="Arial Unicode MS" w:eastAsia="Arial Unicode MS" w:cs="Arial Unicode MS"/>
          <w:b/>
          <w:i w:val="0"/>
          <w:color w:val="2F6BEB"/>
          <w:sz w:val="18"/>
          <w:szCs w:val="18"/>
        </w:rPr>
      </w:pPr>
      <w:r>
        <w:rPr>
          <w:rFonts w:ascii="Arial Unicode MS" w:hAnsi="Arial Unicode MS" w:eastAsia="Arial Unicode MS" w:cs="Arial Unicode MS"/>
          <w:b/>
          <w:i w:val="0"/>
          <w:color w:val="15956A"/>
          <w:sz w:val="20"/>
        </w:rPr>
        <w:t xml:space="preserve">核心定位  </w:t>
      </w:r>
      <w:bookmarkStart w:id="0" w:name="_GoBack"/>
      <w:r>
        <w:rPr>
          <w:rFonts w:hint="eastAsia" w:ascii="Arial Unicode MS" w:hAnsi="Arial Unicode MS" w:eastAsia="Arial Unicode MS" w:cs="Arial Unicode MS"/>
          <w:b/>
          <w:i w:val="0"/>
          <w:color w:val="2F6BEB"/>
          <w:sz w:val="18"/>
          <w:szCs w:val="18"/>
        </w:rPr>
        <w:t>BudgetLoop 不重新打造 Agent 框架。它在 OpenHands、Codex等执行引擎之上，通过智能路由自动选型，以 Session 互通与专业 Skills 组建团队，并用预算、审计与人工介入保证可控交付，再用裁判和主管模型进行团队统筹协调</w:t>
      </w:r>
    </w:p>
    <w:bookmarkEnd w:id="0"/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5603A17E">
        <w:trPr>
          <w:cantSplit/>
        </w:trPr>
        <w:tc>
          <w:tcPr>
            <w:tcW w:w="312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A449F">
            <w:pPr>
              <w:keepNext w:val="0"/>
              <w:keepLines w:val="0"/>
              <w:spacing w:before="0" w:after="40" w:line="240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5F6F82"/>
                <w:sz w:val="16"/>
              </w:rPr>
              <w:t>预算</w:t>
            </w:r>
          </w:p>
          <w:p w14:paraId="4469DD05">
            <w:pPr>
              <w:keepNext w:val="0"/>
              <w:keepLines w:val="0"/>
              <w:spacing w:before="0" w:after="40" w:line="240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2F6BEB"/>
                <w:sz w:val="28"/>
              </w:rPr>
              <w:t>可控</w:t>
            </w:r>
          </w:p>
          <w:p w14:paraId="1AC1108B"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5F6F82"/>
                <w:sz w:val="16"/>
              </w:rPr>
              <w:t>团队与角色两级</w:t>
            </w:r>
          </w:p>
        </w:tc>
        <w:tc>
          <w:tcPr>
            <w:tcW w:w="312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4A178">
            <w:pPr>
              <w:keepNext w:val="0"/>
              <w:keepLines w:val="0"/>
              <w:spacing w:before="0" w:after="40" w:line="240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5F6F82"/>
                <w:sz w:val="16"/>
              </w:rPr>
              <w:t>过程</w:t>
            </w:r>
          </w:p>
          <w:p w14:paraId="4E46F90D">
            <w:pPr>
              <w:keepNext w:val="0"/>
              <w:keepLines w:val="0"/>
              <w:spacing w:before="0" w:after="40" w:line="240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5956A"/>
                <w:sz w:val="28"/>
              </w:rPr>
              <w:t>可审计</w:t>
            </w:r>
          </w:p>
          <w:p w14:paraId="074B3CB5"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5F6F82"/>
                <w:sz w:val="16"/>
              </w:rPr>
              <w:t>消息、工具、证据</w:t>
            </w:r>
          </w:p>
        </w:tc>
        <w:tc>
          <w:tcPr>
            <w:tcW w:w="312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F7B99">
            <w:pPr>
              <w:keepNext w:val="0"/>
              <w:keepLines w:val="0"/>
              <w:spacing w:before="0" w:after="40" w:line="240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5F6F82"/>
                <w:sz w:val="16"/>
              </w:rPr>
              <w:t>治理</w:t>
            </w:r>
          </w:p>
          <w:p w14:paraId="4E6560D1">
            <w:pPr>
              <w:keepNext w:val="0"/>
              <w:keepLines w:val="0"/>
              <w:spacing w:before="0" w:after="40" w:line="240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B87800"/>
                <w:sz w:val="28"/>
              </w:rPr>
              <w:t>可介入</w:t>
            </w:r>
          </w:p>
          <w:p w14:paraId="6754DAFF"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5F6F82"/>
                <w:sz w:val="16"/>
              </w:rPr>
              <w:t>暂停、纠偏、审批</w:t>
            </w:r>
          </w:p>
        </w:tc>
      </w:tr>
    </w:tbl>
    <w:p w14:paraId="4D5EB47F">
      <w:pPr>
        <w:spacing w:after="20"/>
      </w:pPr>
    </w:p>
    <w:p w14:paraId="268CCC2B">
      <w:pPr>
        <w:keepNext w:val="0"/>
        <w:keepLines w:val="0"/>
        <w:spacing w:before="440" w:after="480" w:line="300" w:lineRule="auto"/>
        <w:jc w:val="center"/>
        <w:rPr>
          <w:rFonts w:hint="default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b/>
          <w:i w:val="0"/>
          <w:color w:val="1F4D78"/>
          <w:sz w:val="23"/>
        </w:rPr>
        <w:t>主管 Agent 负责编排与汇总；裁判 Agent 独立控制对话预算、核验证据并触发定向返工。</w:t>
      </w:r>
      <w:r>
        <w:rPr>
          <w:rFonts w:ascii="Arial Unicode MS" w:hAnsi="Arial Unicode MS" w:eastAsia="Arial Unicode MS" w:cs="Arial Unicode MS"/>
          <w:b/>
          <w:i w:val="0"/>
          <w:color w:val="5F6F82"/>
          <w:sz w:val="20"/>
        </w:rPr>
        <w:br w:type="textWrapping"/>
      </w:r>
      <w:r>
        <w:rPr>
          <w:rFonts w:ascii="Arial Unicode MS" w:hAnsi="Arial Unicode MS" w:eastAsia="Arial Unicode MS" w:cs="Arial Unicode MS"/>
          <w:b/>
          <w:i w:val="0"/>
          <w:color w:val="5F6F82"/>
          <w:sz w:val="20"/>
        </w:rPr>
        <w:br w:type="textWrapping"/>
      </w:r>
      <w:r>
        <w:rPr>
          <w:rFonts w:hint="eastAsia" w:cs="Arial Unicode MS"/>
          <w:b/>
          <w:i w:val="0"/>
          <w:color w:val="5F6F82"/>
          <w:sz w:val="20"/>
          <w:lang w:val="en-US" w:eastAsia="zh-CN"/>
        </w:rPr>
        <w:t>制作人：罗森【82562】</w:t>
      </w:r>
    </w:p>
    <w:p w14:paraId="73497E31">
      <w:pPr>
        <w:keepNext w:val="0"/>
        <w:keepLines w:val="0"/>
        <w:spacing w:before="0" w:after="0" w:line="240" w:lineRule="auto"/>
        <w:jc w:val="center"/>
      </w:pPr>
      <w:r>
        <w:rPr>
          <w:rFonts w:hint="eastAsia" w:cs="Arial Unicode MS"/>
          <w:b w:val="0"/>
          <w:i w:val="0"/>
          <w:color w:val="8B98A9"/>
          <w:sz w:val="18"/>
          <w:lang w:val="en-US" w:eastAsia="zh-CN"/>
        </w:rPr>
        <w:t>开源链接：</w:t>
      </w:r>
      <w:r>
        <w:rPr>
          <w:rFonts w:ascii="Arial Unicode MS" w:hAnsi="Arial Unicode MS" w:eastAsia="Arial Unicode MS" w:cs="Arial Unicode MS"/>
          <w:b w:val="0"/>
          <w:i w:val="0"/>
          <w:color w:val="8B98A9"/>
          <w:sz w:val="18"/>
        </w:rPr>
        <w:t xml:space="preserve">github.com/bei666qi-pan/BudgetLoop </w:t>
      </w:r>
    </w:p>
    <w:p w14:paraId="5FA413E4">
      <w:r>
        <w:br w:type="page"/>
      </w:r>
    </w:p>
    <w:p w14:paraId="22A1D645">
      <w:pPr>
        <w:keepNext/>
        <w:keepLines w:val="0"/>
        <w:spacing w:before="0" w:after="80" w:line="240" w:lineRule="auto"/>
        <w:jc w:val="left"/>
      </w:pPr>
      <w:r>
        <w:rPr>
          <w:rFonts w:ascii="Arial Unicode MS" w:hAnsi="Arial Unicode MS" w:eastAsia="Arial Unicode MS" w:cs="Arial Unicode MS"/>
          <w:b/>
          <w:i w:val="0"/>
          <w:color w:val="2F6BEB"/>
          <w:sz w:val="17"/>
        </w:rPr>
        <w:t>02  |  BUDGETLOOP</w:t>
      </w:r>
    </w:p>
    <w:p w14:paraId="69997BC6">
      <w:pPr>
        <w:pStyle w:val="3"/>
        <w:spacing w:before="0" w:after="80"/>
      </w:pPr>
      <w:r>
        <w:t>产品定位：选择和治理 Agent，而不是替代 Agent</w:t>
      </w:r>
    </w:p>
    <w:p w14:paraId="44C0D159">
      <w:pPr>
        <w:keepNext w:val="0"/>
        <w:keepLines w:val="0"/>
        <w:spacing w:before="0" w:after="200" w:line="276" w:lineRule="auto"/>
        <w:jc w:val="left"/>
      </w:pPr>
      <w:r>
        <w:rPr>
          <w:rFonts w:ascii="Arial Unicode MS" w:hAnsi="Arial Unicode MS" w:eastAsia="Arial Unicode MS" w:cs="Arial Unicode MS"/>
          <w:b w:val="0"/>
          <w:i w:val="0"/>
          <w:color w:val="5F6F82"/>
          <w:sz w:val="19"/>
        </w:rPr>
        <w:t>用户只需描述目标；BudgetLoop 负责选择团队、引擎、预算和协作阶段。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2450"/>
        <w:gridCol w:w="2450"/>
        <w:gridCol w:w="3260"/>
      </w:tblGrid>
      <w:tr w14:paraId="16464552">
        <w:trPr>
          <w:cantSplit/>
          <w:tblHeader/>
        </w:trPr>
        <w:tc>
          <w:tcPr>
            <w:tcW w:w="120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98FE7"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维度</w:t>
            </w:r>
          </w:p>
        </w:tc>
        <w:tc>
          <w:tcPr>
            <w:tcW w:w="245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51277"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传统单 Agent</w:t>
            </w:r>
          </w:p>
        </w:tc>
        <w:tc>
          <w:tcPr>
            <w:tcW w:w="245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27706"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松散多 Agent</w:t>
            </w:r>
          </w:p>
        </w:tc>
        <w:tc>
          <w:tcPr>
            <w:tcW w:w="326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8CFA3"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BudgetLoop</w:t>
            </w:r>
          </w:p>
        </w:tc>
      </w:tr>
      <w:tr w14:paraId="04AD2055">
        <w:trPr>
          <w:cantSplit/>
        </w:trPr>
        <w:tc>
          <w:tcPr>
            <w:tcW w:w="120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29F08"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0B2545"/>
                <w:sz w:val="17"/>
              </w:rPr>
              <w:t>选型</w:t>
            </w:r>
          </w:p>
        </w:tc>
        <w:tc>
          <w:tcPr>
            <w:tcW w:w="245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3127C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7"/>
              </w:rPr>
              <w:t>用户手动选择</w:t>
            </w:r>
          </w:p>
        </w:tc>
        <w:tc>
          <w:tcPr>
            <w:tcW w:w="245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D2838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7"/>
              </w:rPr>
              <w:t>每个窗口各自决定</w:t>
            </w:r>
          </w:p>
        </w:tc>
        <w:tc>
          <w:tcPr>
            <w:tcW w:w="326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BEBB3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7"/>
              </w:rPr>
              <w:t>智能路由推荐团队与引擎</w:t>
            </w:r>
          </w:p>
        </w:tc>
      </w:tr>
      <w:tr w14:paraId="3241B8E0">
        <w:trPr>
          <w:cantSplit/>
        </w:trPr>
        <w:tc>
          <w:tcPr>
            <w:tcW w:w="120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1DF81"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0B2545"/>
                <w:sz w:val="17"/>
              </w:rPr>
              <w:t>上下文</w:t>
            </w:r>
          </w:p>
        </w:tc>
        <w:tc>
          <w:tcPr>
            <w:tcW w:w="245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53A73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7"/>
              </w:rPr>
              <w:t>单一长上下文</w:t>
            </w:r>
          </w:p>
        </w:tc>
        <w:tc>
          <w:tcPr>
            <w:tcW w:w="245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CD412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7"/>
              </w:rPr>
              <w:t>复制粘贴易污染</w:t>
            </w:r>
          </w:p>
        </w:tc>
        <w:tc>
          <w:tcPr>
            <w:tcW w:w="326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592D1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7"/>
              </w:rPr>
              <w:t>公共事实互通、私有上下文隔离</w:t>
            </w:r>
          </w:p>
        </w:tc>
      </w:tr>
      <w:tr w14:paraId="42166F76">
        <w:trPr>
          <w:cantSplit/>
        </w:trPr>
        <w:tc>
          <w:tcPr>
            <w:tcW w:w="120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C6FDF"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0B2545"/>
                <w:sz w:val="17"/>
              </w:rPr>
              <w:t>治理</w:t>
            </w:r>
          </w:p>
        </w:tc>
        <w:tc>
          <w:tcPr>
            <w:tcW w:w="245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ECC23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7"/>
              </w:rPr>
              <w:t>执行后看消耗</w:t>
            </w:r>
          </w:p>
        </w:tc>
        <w:tc>
          <w:tcPr>
            <w:tcW w:w="245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D8510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7"/>
              </w:rPr>
              <w:t>缺少统一边界</w:t>
            </w:r>
          </w:p>
        </w:tc>
        <w:tc>
          <w:tcPr>
            <w:tcW w:w="326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3452C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7"/>
              </w:rPr>
              <w:t>调用前预算、审批与审计</w:t>
            </w:r>
          </w:p>
        </w:tc>
      </w:tr>
      <w:tr w14:paraId="129201EE">
        <w:trPr>
          <w:cantSplit/>
        </w:trPr>
        <w:tc>
          <w:tcPr>
            <w:tcW w:w="120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F2331"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0B2545"/>
                <w:sz w:val="17"/>
              </w:rPr>
              <w:t>收敛</w:t>
            </w:r>
          </w:p>
        </w:tc>
        <w:tc>
          <w:tcPr>
            <w:tcW w:w="245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4C631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7"/>
              </w:rPr>
              <w:t>依赖模型自评</w:t>
            </w:r>
          </w:p>
        </w:tc>
        <w:tc>
          <w:tcPr>
            <w:tcW w:w="245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B1542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7"/>
              </w:rPr>
              <w:t>无人统一验收</w:t>
            </w:r>
          </w:p>
        </w:tc>
        <w:tc>
          <w:tcPr>
            <w:tcW w:w="326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70837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7"/>
              </w:rPr>
              <w:t>裁判判定，主管汇总</w:t>
            </w:r>
          </w:p>
        </w:tc>
      </w:tr>
    </w:tbl>
    <w:p w14:paraId="19C2CF44">
      <w:pPr>
        <w:spacing w:after="20"/>
      </w:pPr>
    </w:p>
    <w:p w14:paraId="70CA46C8">
      <w:pPr>
        <w:keepNext w:val="0"/>
        <w:keepLines/>
        <w:spacing w:before="0" w:after="60" w:line="240" w:lineRule="auto"/>
        <w:jc w:val="center"/>
      </w:pPr>
      <w:r>
        <w:drawing>
          <wp:inline distT="0" distB="0" distL="114300" distR="114300">
            <wp:extent cx="5715000" cy="2962910"/>
            <wp:effectExtent l="0" t="0" r="0" b="8890"/>
            <wp:docPr id="1" name="Picture 1" descr="BudgetLoop 真实智能推荐界面：输入季度经营分析目标后推荐商业增长团队与数据分析团队" title="BudgetLoop 真实智能推荐界面：输入季度经营分析目标后推荐商业增长团队与数据分析团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BudgetLoop 真实智能推荐界面：输入季度经营分析目标后推荐商业增长团队与数据分析团队" title="BudgetLoop 真实智能推荐界面：输入季度经营分析目标后推荐商业增长团队与数据分析团队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6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97403">
      <w:pPr>
        <w:pStyle w:val="15"/>
      </w:pPr>
      <w:r>
        <w:t>真实界面｜自然语言目标自动匹配团队；创建前仍可调整角色、预算与协作模式。</w:t>
      </w:r>
    </w:p>
    <w:p w14:paraId="6817FA5F">
      <w:pPr>
        <w:keepNext w:val="0"/>
        <w:keepLines/>
        <w:pBdr>
          <w:left w:val="single" w:color="2F6BEB" w:sz="18" w:space="10"/>
        </w:pBdr>
        <w:shd w:val="clear" w:fill="EEF4FF"/>
        <w:spacing w:before="40" w:after="0" w:line="276" w:lineRule="auto"/>
        <w:jc w:val="left"/>
      </w:pPr>
      <w:r>
        <w:rPr>
          <w:rFonts w:ascii="Arial Unicode MS" w:hAnsi="Arial Unicode MS" w:eastAsia="Arial Unicode MS" w:cs="Arial Unicode MS"/>
          <w:b/>
          <w:i w:val="0"/>
          <w:color w:val="2F6BEB"/>
          <w:sz w:val="20"/>
        </w:rPr>
        <w:t xml:space="preserve">客户体验  </w:t>
      </w:r>
      <w:r>
        <w:rPr>
          <w:rFonts w:ascii="Arial Unicode MS" w:hAnsi="Arial Unicode MS" w:eastAsia="Arial Unicode MS" w:cs="Arial Unicode MS"/>
          <w:b w:val="0"/>
          <w:i w:val="0"/>
          <w:color w:val="0B2545"/>
          <w:sz w:val="20"/>
        </w:rPr>
        <w:t>无需先理解 Agent 框架差异，也无需手工拼接多个聊天窗口；系统先给出可解释推荐，再由用户确认。</w:t>
      </w:r>
    </w:p>
    <w:p w14:paraId="2C6AB3CE">
      <w:r>
        <w:br w:type="page"/>
      </w:r>
    </w:p>
    <w:p w14:paraId="1EAFEF77">
      <w:pPr>
        <w:keepNext/>
        <w:keepLines w:val="0"/>
        <w:spacing w:before="0" w:after="80" w:line="240" w:lineRule="auto"/>
        <w:jc w:val="left"/>
      </w:pPr>
      <w:r>
        <w:rPr>
          <w:rFonts w:ascii="Arial Unicode MS" w:hAnsi="Arial Unicode MS" w:eastAsia="Arial Unicode MS" w:cs="Arial Unicode MS"/>
          <w:b/>
          <w:i w:val="0"/>
          <w:color w:val="2F6BEB"/>
          <w:sz w:val="17"/>
        </w:rPr>
        <w:t>03  |  BUDGETLOOP</w:t>
      </w:r>
    </w:p>
    <w:p w14:paraId="38EF9C37">
      <w:pPr>
        <w:pStyle w:val="3"/>
        <w:spacing w:before="0" w:after="80"/>
      </w:pPr>
      <w:r>
        <w:t>目标架构：自动路由、统一 Session、可替换引擎</w:t>
      </w:r>
    </w:p>
    <w:p w14:paraId="5AF080EF">
      <w:pPr>
        <w:keepNext w:val="0"/>
        <w:keepLines w:val="0"/>
        <w:spacing w:before="0" w:after="200" w:line="276" w:lineRule="auto"/>
        <w:jc w:val="left"/>
        <w:rPr>
          <w:rFonts w:ascii="Arial Unicode MS" w:hAnsi="Arial Unicode MS" w:eastAsia="Arial Unicode MS" w:cs="Arial Unicode MS"/>
          <w:b w:val="0"/>
          <w:i w:val="0"/>
          <w:color w:val="5F6F82"/>
          <w:sz w:val="19"/>
        </w:rPr>
      </w:pPr>
      <w:r>
        <w:rPr>
          <w:rFonts w:ascii="Arial Unicode MS" w:hAnsi="Arial Unicode MS" w:eastAsia="Arial Unicode MS" w:cs="Arial Unicode MS"/>
          <w:b w:val="0"/>
          <w:i w:val="0"/>
          <w:color w:val="5F6F82"/>
          <w:sz w:val="19"/>
        </w:rPr>
        <w:t>执行引擎负责推理与动作；BudgetLoop 保留任务状态、预算、审批、工作区和终态控制权。</w:t>
      </w:r>
    </w:p>
    <w:p w14:paraId="3B153E52">
      <w:pPr>
        <w:keepNext w:val="0"/>
        <w:keepLines w:val="0"/>
        <w:spacing w:before="0" w:after="200" w:line="276" w:lineRule="auto"/>
        <w:jc w:val="left"/>
        <w:rPr>
          <w:rFonts w:ascii="Arial Unicode MS" w:hAnsi="Arial Unicode MS" w:eastAsia="Arial Unicode MS" w:cs="Arial Unicode MS"/>
          <w:b w:val="0"/>
          <w:i w:val="0"/>
          <w:color w:val="5F6F82"/>
          <w:sz w:val="19"/>
        </w:rPr>
      </w:pPr>
    </w:p>
    <w:p w14:paraId="48E90BEA">
      <w:pPr>
        <w:keepNext w:val="0"/>
        <w:keepLines/>
        <w:spacing w:before="0" w:after="60" w:line="240" w:lineRule="auto"/>
        <w:jc w:val="center"/>
      </w:pPr>
      <w:r>
        <w:drawing>
          <wp:inline distT="0" distB="0" distL="114300" distR="114300">
            <wp:extent cx="5715000" cy="2794000"/>
            <wp:effectExtent l="0" t="0" r="0" b="0"/>
            <wp:docPr id="2" name="Picture 2" descr="BudgetLoop 目标架构图：从用户目标到智能路由、控制平面、专业团队和工具证据回流" title="BudgetLoop 目标架构图：从用户目标到智能路由、控制平面、专业团队和工具证据回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BudgetLoop 目标架构图：从用户目标到智能路由、控制平面、专业团队和工具证据回流" title="BudgetLoop 目标架构图：从用户目标到智能路由、控制平面、专业团队和工具证据回流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5A7E8">
      <w:pPr>
        <w:pStyle w:val="15"/>
      </w:pPr>
      <w:r>
        <w:t>架构原则｜引擎可以替换，业务事实与治理边界不能旁路。</w:t>
      </w:r>
    </w:p>
    <w:p w14:paraId="168A451B">
      <w:pPr>
        <w:keepNext w:val="0"/>
        <w:keepLines/>
        <w:spacing w:before="0" w:after="60" w:line="240" w:lineRule="auto"/>
        <w:jc w:val="center"/>
      </w:pPr>
      <w:r>
        <w:drawing>
          <wp:inline distT="0" distB="0" distL="114300" distR="114300">
            <wp:extent cx="5715000" cy="2704465"/>
            <wp:effectExtent l="0" t="0" r="0" b="13335"/>
            <wp:docPr id="3" name="Picture 3" descr="BudgetLoop 真实执行引擎选择界面，展示 OpenHands、Codex、Gemini CLI 与扩展适配器状态" title="BudgetLoop 真实执行引擎选择界面，展示 OpenHands、Codex、Gemini CLI 与扩展适配器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BudgetLoop 真实执行引擎选择界面，展示 OpenHands、Codex、Gemini CLI 与扩展适配器状态" title="BudgetLoop 真实执行引擎选择界面，展示 OpenHands、Codex、Gemini CLI 与扩展适配器状态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0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A5FCB">
      <w:pPr>
        <w:pStyle w:val="15"/>
      </w:pPr>
      <w:r>
        <w:t>真实界面｜OpenHands、Codex、Gemini CLI 已进入统一引擎目录；不可用引擎不会静默回退。</w:t>
      </w:r>
    </w:p>
    <w:p w14:paraId="2BA29B9A">
      <w:r>
        <w:br w:type="page"/>
      </w:r>
    </w:p>
    <w:p w14:paraId="45E117CD">
      <w:pPr>
        <w:keepNext/>
        <w:keepLines w:val="0"/>
        <w:spacing w:before="0" w:after="80" w:line="240" w:lineRule="auto"/>
        <w:jc w:val="left"/>
      </w:pPr>
      <w:r>
        <w:rPr>
          <w:rFonts w:ascii="Arial Unicode MS" w:hAnsi="Arial Unicode MS" w:eastAsia="Arial Unicode MS" w:cs="Arial Unicode MS"/>
          <w:b/>
          <w:i w:val="0"/>
          <w:color w:val="2F6BEB"/>
          <w:sz w:val="17"/>
        </w:rPr>
        <w:t>04  |  BUDGETLOOP</w:t>
      </w:r>
    </w:p>
    <w:p w14:paraId="6FD9911A">
      <w:pPr>
        <w:pStyle w:val="3"/>
        <w:spacing w:before="0" w:after="80"/>
      </w:pPr>
      <w:r>
        <w:t>专业团队：主管、专家与裁判三层协作</w:t>
      </w:r>
    </w:p>
    <w:p w14:paraId="78246C76">
      <w:pPr>
        <w:keepNext w:val="0"/>
        <w:keepLines w:val="0"/>
        <w:spacing w:before="0" w:after="200" w:line="276" w:lineRule="auto"/>
        <w:jc w:val="left"/>
      </w:pPr>
      <w:r>
        <w:rPr>
          <w:rFonts w:ascii="Arial Unicode MS" w:hAnsi="Arial Unicode MS" w:eastAsia="Arial Unicode MS" w:cs="Arial Unicode MS"/>
          <w:b w:val="0"/>
          <w:i w:val="0"/>
          <w:color w:val="5F6F82"/>
          <w:sz w:val="19"/>
        </w:rPr>
        <w:t>把“谁负责什么、何时交接、谁有权判定完成”写进协作协议。</w:t>
      </w:r>
    </w:p>
    <w:p w14:paraId="1CA71659">
      <w:pPr>
        <w:keepNext w:val="0"/>
        <w:keepLines/>
        <w:spacing w:before="0" w:after="60" w:line="240" w:lineRule="auto"/>
        <w:jc w:val="center"/>
      </w:pPr>
      <w:r>
        <w:drawing>
          <wp:inline distT="0" distB="0" distL="114300" distR="114300">
            <wp:extent cx="5715000" cy="2222500"/>
            <wp:effectExtent l="0" t="0" r="0" b="12700"/>
            <wp:docPr id="4" name="Picture 4" descr="主管 Agent、专业 Agent 与裁判 Agent 的三层职责模型" title="主管 Agent、专业 Agent 与裁判 Agent 的三层职责模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主管 Agent、专业 Agent 与裁判 Agent 的三层职责模型" title="主管 Agent、专业 Agent 与裁判 Agent 的三层职责模型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57284">
      <w:pPr>
        <w:pStyle w:val="15"/>
      </w:pPr>
      <w:r>
        <w:t>职责分离｜主管管全局、专家做交付、裁判保持独立。</w:t>
      </w:r>
    </w:p>
    <w:p w14:paraId="70FE9A2D"/>
    <w:p w14:paraId="7EE1EE02"/>
    <w:p w14:paraId="7409ACE1"/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2850"/>
        <w:gridCol w:w="2750"/>
        <w:gridCol w:w="2310"/>
      </w:tblGrid>
      <w:tr w14:paraId="093EC3EF">
        <w:trPr>
          <w:cantSplit/>
          <w:tblHeader/>
        </w:trPr>
        <w:tc>
          <w:tcPr>
            <w:tcW w:w="145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57EA7"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角色</w:t>
            </w:r>
          </w:p>
        </w:tc>
        <w:tc>
          <w:tcPr>
            <w:tcW w:w="285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A42F1"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核心责任</w:t>
            </w:r>
          </w:p>
        </w:tc>
        <w:tc>
          <w:tcPr>
            <w:tcW w:w="275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7989C"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可见输入</w:t>
            </w:r>
          </w:p>
        </w:tc>
        <w:tc>
          <w:tcPr>
            <w:tcW w:w="231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44720"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主要输出</w:t>
            </w:r>
          </w:p>
        </w:tc>
      </w:tr>
      <w:tr w14:paraId="51B56C00">
        <w:trPr>
          <w:cantSplit/>
        </w:trPr>
        <w:tc>
          <w:tcPr>
            <w:tcW w:w="145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F4748"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0B2545"/>
                <w:sz w:val="17"/>
              </w:rPr>
              <w:t>主管 Agent</w:t>
            </w:r>
          </w:p>
        </w:tc>
        <w:tc>
          <w:tcPr>
            <w:tcW w:w="285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AB600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7"/>
              </w:rPr>
              <w:t>拆解、分配、Handoff、冲突处理</w:t>
            </w:r>
          </w:p>
        </w:tc>
        <w:tc>
          <w:tcPr>
            <w:tcW w:w="275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B8076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7"/>
              </w:rPr>
              <w:t>目标、团队状态、裁判结论</w:t>
            </w:r>
          </w:p>
        </w:tc>
        <w:tc>
          <w:tcPr>
            <w:tcW w:w="231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331F8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7"/>
              </w:rPr>
              <w:t>统一计划与最终汇总</w:t>
            </w:r>
          </w:p>
        </w:tc>
      </w:tr>
      <w:tr w14:paraId="6F6387B9">
        <w:trPr>
          <w:cantSplit/>
        </w:trPr>
        <w:tc>
          <w:tcPr>
            <w:tcW w:w="145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44109"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0B2545"/>
                <w:sz w:val="17"/>
              </w:rPr>
              <w:t>专业 Agent</w:t>
            </w:r>
          </w:p>
        </w:tc>
        <w:tc>
          <w:tcPr>
            <w:tcW w:w="285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6809F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7"/>
              </w:rPr>
              <w:t>按角色 Skills 执行并自证</w:t>
            </w:r>
          </w:p>
        </w:tc>
        <w:tc>
          <w:tcPr>
            <w:tcW w:w="275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EEA51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7"/>
              </w:rPr>
              <w:t>私有上下文、公共事实、工具</w:t>
            </w:r>
          </w:p>
        </w:tc>
        <w:tc>
          <w:tcPr>
            <w:tcW w:w="231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387B6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7"/>
              </w:rPr>
              <w:t>工件、差异、测试与说明</w:t>
            </w:r>
          </w:p>
        </w:tc>
      </w:tr>
      <w:tr w14:paraId="5BDCBF82">
        <w:trPr>
          <w:cantSplit/>
        </w:trPr>
        <w:tc>
          <w:tcPr>
            <w:tcW w:w="145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3E4CB"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0B2545"/>
                <w:sz w:val="17"/>
              </w:rPr>
              <w:t>裁判 Agent</w:t>
            </w:r>
          </w:p>
        </w:tc>
        <w:tc>
          <w:tcPr>
            <w:tcW w:w="285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E3A31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7"/>
              </w:rPr>
              <w:t>核验证据并控制对话预算</w:t>
            </w:r>
          </w:p>
        </w:tc>
        <w:tc>
          <w:tcPr>
            <w:tcW w:w="275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A81A4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7"/>
              </w:rPr>
              <w:t>事实证据、验收条件、预算</w:t>
            </w:r>
          </w:p>
        </w:tc>
        <w:tc>
          <w:tcPr>
            <w:tcW w:w="231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36033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7"/>
              </w:rPr>
              <w:t>通过 / 返工 / 阻塞</w:t>
            </w:r>
          </w:p>
        </w:tc>
      </w:tr>
    </w:tbl>
    <w:p w14:paraId="3E68E604">
      <w:pPr>
        <w:spacing w:after="20"/>
      </w:pPr>
    </w:p>
    <w:p w14:paraId="61CB336D">
      <w:pPr>
        <w:spacing w:after="20"/>
      </w:pPr>
    </w:p>
    <w:p w14:paraId="1667E6D3">
      <w:pPr>
        <w:spacing w:after="20"/>
      </w:pPr>
    </w:p>
    <w:p w14:paraId="6E8DB0AC">
      <w:pPr>
        <w:keepNext w:val="0"/>
        <w:keepLines/>
        <w:pBdr>
          <w:left w:val="single" w:color="B87800" w:sz="18" w:space="10"/>
        </w:pBdr>
        <w:shd w:val="clear" w:fill="FFF8E8"/>
        <w:spacing w:before="40" w:after="0" w:line="276" w:lineRule="auto"/>
        <w:jc w:val="left"/>
      </w:pPr>
      <w:r>
        <w:rPr>
          <w:rFonts w:ascii="Arial Unicode MS" w:hAnsi="Arial Unicode MS" w:eastAsia="Arial Unicode MS" w:cs="Arial Unicode MS"/>
          <w:b/>
          <w:i w:val="0"/>
          <w:color w:val="B87800"/>
          <w:sz w:val="20"/>
        </w:rPr>
        <w:t xml:space="preserve">裁判边界  </w:t>
      </w:r>
      <w:r>
        <w:rPr>
          <w:rFonts w:ascii="Arial Unicode MS" w:hAnsi="Arial Unicode MS" w:eastAsia="Arial Unicode MS" w:cs="Arial Unicode MS"/>
          <w:b w:val="0"/>
          <w:i w:val="0"/>
          <w:color w:val="0B2545"/>
          <w:sz w:val="20"/>
        </w:rPr>
        <w:t>裁判不修改交付物；它独立控制对话 Token、自动回复轮数、消息频率与阶段预算，只向责任 Session 发出定向返工。</w:t>
      </w:r>
    </w:p>
    <w:p w14:paraId="1489EC26">
      <w:r>
        <w:br w:type="page"/>
      </w:r>
    </w:p>
    <w:p w14:paraId="0323657C">
      <w:pPr>
        <w:keepNext/>
        <w:keepLines w:val="0"/>
        <w:spacing w:before="0" w:after="80" w:line="240" w:lineRule="auto"/>
        <w:jc w:val="left"/>
      </w:pPr>
      <w:r>
        <w:rPr>
          <w:rFonts w:ascii="Arial Unicode MS" w:hAnsi="Arial Unicode MS" w:eastAsia="Arial Unicode MS" w:cs="Arial Unicode MS"/>
          <w:b/>
          <w:i w:val="0"/>
          <w:color w:val="2F6BEB"/>
          <w:sz w:val="17"/>
        </w:rPr>
        <w:t>05  |  BUDGETLOOP</w:t>
      </w:r>
    </w:p>
    <w:p w14:paraId="61822D20">
      <w:pPr>
        <w:pStyle w:val="3"/>
        <w:spacing w:before="0" w:after="80"/>
      </w:pPr>
      <w:r>
        <w:t>协作闭环：让团队持续收敛，而不是无限对话</w:t>
      </w:r>
    </w:p>
    <w:p w14:paraId="04E2FE0E">
      <w:pPr>
        <w:keepNext w:val="0"/>
        <w:keepLines w:val="0"/>
        <w:spacing w:before="0" w:after="200" w:line="276" w:lineRule="auto"/>
        <w:jc w:val="left"/>
      </w:pPr>
      <w:r>
        <w:rPr>
          <w:rFonts w:ascii="Arial Unicode MS" w:hAnsi="Arial Unicode MS" w:eastAsia="Arial Unicode MS" w:cs="Arial Unicode MS"/>
          <w:b w:val="0"/>
          <w:i w:val="0"/>
          <w:color w:val="5F6F82"/>
          <w:sz w:val="19"/>
        </w:rPr>
        <w:t>每次 Handoff 都携带公开成果、剩余问题、预算状态和下一步责任。</w:t>
      </w:r>
    </w:p>
    <w:p w14:paraId="25AECFA0">
      <w:pPr>
        <w:keepNext w:val="0"/>
        <w:keepLines/>
        <w:spacing w:before="0" w:after="60" w:line="240" w:lineRule="auto"/>
        <w:jc w:val="center"/>
      </w:pPr>
      <w:r>
        <w:drawing>
          <wp:inline distT="0" distB="0" distL="114300" distR="114300">
            <wp:extent cx="5715000" cy="1365250"/>
            <wp:effectExtent l="0" t="0" r="0" b="6350"/>
            <wp:docPr id="5" name="Picture 5" descr="主管分派、专家并行、Session Handoff、裁判核验、定向返工和主管汇总的协作流程" title="主管分派、专家并行、Session Handoff、裁判核验、定向返工和主管汇总的协作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主管分派、专家并行、Session Handoff、裁判核验、定向返工和主管汇总的协作流程" title="主管分派、专家并行、Session Handoff、裁判核验、定向返工和主管汇总的协作流程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0AB1">
      <w:pPr>
        <w:pStyle w:val="15"/>
      </w:pPr>
      <w:r>
        <w:t>闭环路径｜返工只唤醒必要角色，避免全员重复消耗。</w:t>
      </w:r>
    </w:p>
    <w:p w14:paraId="5136F66C"/>
    <w:p w14:paraId="25B70886"/>
    <w:p w14:paraId="29FCC5FE"/>
    <w:p w14:paraId="5C95D979"/>
    <w:p w14:paraId="00C64781">
      <w:pPr>
        <w:keepNext w:val="0"/>
        <w:keepLines/>
        <w:spacing w:before="0" w:after="60" w:line="240" w:lineRule="auto"/>
        <w:jc w:val="center"/>
      </w:pPr>
      <w:r>
        <w:drawing>
          <wp:inline distT="0" distB="0" distL="114300" distR="114300">
            <wp:extent cx="5623560" cy="2016760"/>
            <wp:effectExtent l="0" t="0" r="15240" b="15240"/>
            <wp:docPr id="6" name="Picture 6" descr="BudgetLoop 真实 Agent Team 界面：六个 Session 状态与自主 Handoff 记录入口" title="BudgetLoop 真实 Agent Team 界面：六个 Session 状态与自主 Handoff 记录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BudgetLoop 真实 Agent Team 界面：六个 Session 状态与自主 Handoff 记录入口" title="BudgetLoop 真实 Agent Team 界面：六个 Session 状态与自主 Handoff 记录入口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01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0FB4">
      <w:pPr>
        <w:pStyle w:val="15"/>
      </w:pPr>
      <w:r>
        <w:t>真实界面｜六个 Session 独立运行并保留 Handoff</w:t>
      </w:r>
    </w:p>
    <w:p w14:paraId="50258419"/>
    <w:p w14:paraId="639A0668"/>
    <w:p w14:paraId="519935EC">
      <w:pPr>
        <w:keepNext w:val="0"/>
        <w:keepLines/>
        <w:pBdr>
          <w:left w:val="single" w:color="15956A" w:sz="18" w:space="10"/>
        </w:pBdr>
        <w:shd w:val="clear" w:fill="EEF9F5"/>
        <w:spacing w:before="40" w:after="0" w:line="276" w:lineRule="auto"/>
        <w:jc w:val="left"/>
      </w:pPr>
      <w:r>
        <w:rPr>
          <w:rFonts w:ascii="Arial Unicode MS" w:hAnsi="Arial Unicode MS" w:eastAsia="Arial Unicode MS" w:cs="Arial Unicode MS"/>
          <w:b/>
          <w:i w:val="0"/>
          <w:color w:val="15956A"/>
          <w:sz w:val="20"/>
        </w:rPr>
        <w:t xml:space="preserve">人工控制  </w:t>
      </w:r>
      <w:r>
        <w:rPr>
          <w:rFonts w:ascii="Arial Unicode MS" w:hAnsi="Arial Unicode MS" w:eastAsia="Arial Unicode MS" w:cs="Arial Unicode MS"/>
          <w:b w:val="0"/>
          <w:i w:val="0"/>
          <w:color w:val="0B2545"/>
          <w:sz w:val="20"/>
        </w:rPr>
        <w:t>操作员可在团队或单个 Session 层级暂停、恢复、纠偏、审批或终止；所有动作进入审计记录。</w:t>
      </w:r>
    </w:p>
    <w:p w14:paraId="3B6BC27F">
      <w:r>
        <w:br w:type="page"/>
      </w:r>
    </w:p>
    <w:p w14:paraId="6420E35C">
      <w:pPr>
        <w:keepNext/>
        <w:keepLines w:val="0"/>
        <w:spacing w:before="0" w:after="80" w:line="240" w:lineRule="auto"/>
        <w:jc w:val="left"/>
      </w:pPr>
      <w:r>
        <w:rPr>
          <w:rFonts w:ascii="Arial Unicode MS" w:hAnsi="Arial Unicode MS" w:eastAsia="Arial Unicode MS" w:cs="Arial Unicode MS"/>
          <w:b/>
          <w:i w:val="0"/>
          <w:color w:val="2F6BEB"/>
          <w:sz w:val="17"/>
        </w:rPr>
        <w:t>06  |  BUDGETLOOP</w:t>
      </w:r>
    </w:p>
    <w:p w14:paraId="721C9C71">
      <w:pPr>
        <w:pStyle w:val="3"/>
        <w:spacing w:before="0" w:after="80"/>
      </w:pPr>
      <w:r>
        <w:t>治理闭环：预算、审计、介入与可信失败</w:t>
      </w:r>
    </w:p>
    <w:p w14:paraId="339A9411">
      <w:pPr>
        <w:keepNext w:val="0"/>
        <w:keepLines w:val="0"/>
        <w:spacing w:before="0" w:after="200" w:line="276" w:lineRule="auto"/>
        <w:jc w:val="left"/>
      </w:pPr>
      <w:r>
        <w:rPr>
          <w:rFonts w:ascii="Arial Unicode MS" w:hAnsi="Arial Unicode MS" w:eastAsia="Arial Unicode MS" w:cs="Arial Unicode MS"/>
          <w:b w:val="0"/>
          <w:i w:val="0"/>
          <w:color w:val="5F6F82"/>
          <w:sz w:val="19"/>
        </w:rPr>
        <w:t>预算不是事后仪表盘，而是执行前的控制权；完成必须由可观察证据支撑。</w:t>
      </w:r>
    </w:p>
    <w:p w14:paraId="05B3D165">
      <w:pPr>
        <w:keepNext w:val="0"/>
        <w:keepLines/>
        <w:spacing w:before="0" w:after="60" w:line="240" w:lineRule="auto"/>
        <w:jc w:val="center"/>
      </w:pPr>
      <w:r>
        <w:drawing>
          <wp:inline distT="0" distB="0" distL="114300" distR="114300">
            <wp:extent cx="5715000" cy="2252980"/>
            <wp:effectExtent l="0" t="0" r="0" b="7620"/>
            <wp:docPr id="7" name="Picture 7" descr="BudgetLoop 真实运行指挥台：71.9k/200k Token、9/20 次调用、正常压力模式与 100% 成功率" title="BudgetLoop 真实运行指挥台：71.9k/200k Token、9/20 次调用、正常压力模式与 100% 成功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BudgetLoop 真实运行指挥台：71.9k/200k Token、9/20 次调用、正常压力模式与 100% 成功率" title="BudgetLoop 真实运行指挥台：71.9k/200k Token、9/20 次调用、正常压力模式与 100% 成功率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5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7B02">
      <w:pPr>
        <w:keepNext w:val="0"/>
        <w:keepLines/>
        <w:spacing w:before="0" w:after="60" w:line="240" w:lineRule="auto"/>
        <w:jc w:val="both"/>
      </w:pPr>
    </w:p>
    <w:p w14:paraId="496CC4E2">
      <w:pPr>
        <w:pStyle w:val="15"/>
      </w:pPr>
      <w:r>
        <w:t>真实界面｜该 Session 在预算内完成：71.9k / 200k Token、9 / 20 次调用、100% 调用成功率。</w:t>
      </w:r>
    </w:p>
    <w:p w14:paraId="2AACECFF"/>
    <w:p w14:paraId="0B68F0FB"/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2550"/>
        <w:gridCol w:w="2800"/>
        <w:gridCol w:w="2560"/>
      </w:tblGrid>
      <w:tr w14:paraId="00521351">
        <w:trPr>
          <w:cantSplit/>
          <w:tblHeader/>
        </w:trPr>
        <w:tc>
          <w:tcPr>
            <w:tcW w:w="145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812D2"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预算维度</w:t>
            </w:r>
          </w:p>
        </w:tc>
        <w:tc>
          <w:tcPr>
            <w:tcW w:w="255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F3CAA"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调用前控制</w:t>
            </w:r>
          </w:p>
        </w:tc>
        <w:tc>
          <w:tcPr>
            <w:tcW w:w="280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22A79"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运行中信号</w:t>
            </w:r>
          </w:p>
        </w:tc>
        <w:tc>
          <w:tcPr>
            <w:tcW w:w="256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1695E"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超限或异常处理</w:t>
            </w:r>
          </w:p>
        </w:tc>
      </w:tr>
      <w:tr w14:paraId="0D723854">
        <w:trPr>
          <w:cantSplit/>
        </w:trPr>
        <w:tc>
          <w:tcPr>
            <w:tcW w:w="145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1B2FB"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0B2545"/>
                <w:sz w:val="17"/>
              </w:rPr>
              <w:t>Token</w:t>
            </w:r>
          </w:p>
        </w:tc>
        <w:tc>
          <w:tcPr>
            <w:tcW w:w="255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0AEC0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7"/>
              </w:rPr>
              <w:t>预留可用额度</w:t>
            </w:r>
          </w:p>
        </w:tc>
        <w:tc>
          <w:tcPr>
            <w:tcW w:w="280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C1857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7"/>
              </w:rPr>
              <w:t>已用 + 预留 + 速率</w:t>
            </w:r>
          </w:p>
        </w:tc>
        <w:tc>
          <w:tcPr>
            <w:tcW w:w="256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E2E2E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7"/>
              </w:rPr>
              <w:t>保守策略或停止</w:t>
            </w:r>
          </w:p>
        </w:tc>
      </w:tr>
      <w:tr w14:paraId="4CC306B4">
        <w:trPr>
          <w:cantSplit/>
        </w:trPr>
        <w:tc>
          <w:tcPr>
            <w:tcW w:w="145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5A218"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0B2545"/>
                <w:sz w:val="17"/>
              </w:rPr>
              <w:t>调用</w:t>
            </w:r>
          </w:p>
        </w:tc>
        <w:tc>
          <w:tcPr>
            <w:tcW w:w="255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D78BC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7"/>
              </w:rPr>
              <w:t>检查次数与并发</w:t>
            </w:r>
          </w:p>
        </w:tc>
        <w:tc>
          <w:tcPr>
            <w:tcW w:w="280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6B250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7"/>
              </w:rPr>
              <w:t>成功率、重试、重复动作</w:t>
            </w:r>
          </w:p>
        </w:tc>
        <w:tc>
          <w:tcPr>
            <w:tcW w:w="256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7ACC7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7"/>
              </w:rPr>
              <w:t>冻结低收益调用</w:t>
            </w:r>
          </w:p>
        </w:tc>
      </w:tr>
      <w:tr w14:paraId="4AD13C09">
        <w:trPr>
          <w:cantSplit/>
        </w:trPr>
        <w:tc>
          <w:tcPr>
            <w:tcW w:w="145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64720"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0B2545"/>
                <w:sz w:val="17"/>
              </w:rPr>
              <w:t>费用</w:t>
            </w:r>
          </w:p>
        </w:tc>
        <w:tc>
          <w:tcPr>
            <w:tcW w:w="255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84004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7"/>
              </w:rPr>
              <w:t>按可用价格预估</w:t>
            </w:r>
          </w:p>
        </w:tc>
        <w:tc>
          <w:tcPr>
            <w:tcW w:w="280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ED1FD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7"/>
              </w:rPr>
              <w:t>真实结算与未定价标识</w:t>
            </w:r>
          </w:p>
        </w:tc>
        <w:tc>
          <w:tcPr>
            <w:tcW w:w="256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C1B55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7"/>
              </w:rPr>
              <w:t>拒绝夸大成本结论</w:t>
            </w:r>
          </w:p>
        </w:tc>
      </w:tr>
      <w:tr w14:paraId="324AF76C">
        <w:trPr>
          <w:cantSplit/>
        </w:trPr>
        <w:tc>
          <w:tcPr>
            <w:tcW w:w="145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57462"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0B2545"/>
                <w:sz w:val="17"/>
              </w:rPr>
              <w:t>时间</w:t>
            </w:r>
          </w:p>
        </w:tc>
        <w:tc>
          <w:tcPr>
            <w:tcW w:w="255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DD398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7"/>
              </w:rPr>
              <w:t>绝对截止 + 活跃时间</w:t>
            </w:r>
          </w:p>
        </w:tc>
        <w:tc>
          <w:tcPr>
            <w:tcW w:w="280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7AD32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7"/>
              </w:rPr>
              <w:t>阶段耗时与等待状态</w:t>
            </w:r>
          </w:p>
        </w:tc>
        <w:tc>
          <w:tcPr>
            <w:tcW w:w="256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01505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7"/>
              </w:rPr>
              <w:t>部分完成并可交接</w:t>
            </w:r>
          </w:p>
        </w:tc>
      </w:tr>
    </w:tbl>
    <w:p w14:paraId="4E799858">
      <w:pPr>
        <w:spacing w:after="20"/>
      </w:pPr>
    </w:p>
    <w:p w14:paraId="6F379AB8">
      <w:pPr>
        <w:keepNext w:val="0"/>
        <w:keepLines/>
        <w:pBdr>
          <w:left w:val="single" w:color="B87800" w:sz="18" w:space="10"/>
        </w:pBdr>
        <w:shd w:val="clear" w:fill="FFF8E8"/>
        <w:spacing w:before="40" w:after="0" w:line="276" w:lineRule="auto"/>
        <w:jc w:val="left"/>
      </w:pPr>
      <w:r>
        <w:rPr>
          <w:rFonts w:ascii="Arial Unicode MS" w:hAnsi="Arial Unicode MS" w:eastAsia="Arial Unicode MS" w:cs="Arial Unicode MS"/>
          <w:b/>
          <w:i w:val="0"/>
          <w:color w:val="B87800"/>
          <w:sz w:val="20"/>
        </w:rPr>
        <w:t xml:space="preserve">可信失败  </w:t>
      </w:r>
      <w:r>
        <w:rPr>
          <w:rFonts w:ascii="Arial Unicode MS" w:hAnsi="Arial Unicode MS" w:eastAsia="Arial Unicode MS" w:cs="Arial Unicode MS"/>
          <w:b w:val="0"/>
          <w:i w:val="0"/>
          <w:color w:val="0B2545"/>
          <w:sz w:val="20"/>
        </w:rPr>
        <w:t>预算不足、工具超时或外部依赖不可用时，系统输出已完成内容、未通过验收、证据和建议下一步，不伪装成功。</w:t>
      </w:r>
    </w:p>
    <w:p w14:paraId="7996C3AD">
      <w:r>
        <w:br w:type="page"/>
      </w:r>
    </w:p>
    <w:p w14:paraId="70496A38">
      <w:pPr>
        <w:keepNext/>
        <w:keepLines w:val="0"/>
        <w:spacing w:before="0" w:after="80" w:line="240" w:lineRule="auto"/>
        <w:jc w:val="left"/>
      </w:pPr>
      <w:r>
        <w:rPr>
          <w:rFonts w:ascii="Arial Unicode MS" w:hAnsi="Arial Unicode MS" w:eastAsia="Arial Unicode MS" w:cs="Arial Unicode MS"/>
          <w:b/>
          <w:i w:val="0"/>
          <w:color w:val="2F6BEB"/>
          <w:sz w:val="17"/>
        </w:rPr>
        <w:t>07  |  BUDGETLOOP</w:t>
      </w:r>
    </w:p>
    <w:p w14:paraId="7629DD8F">
      <w:pPr>
        <w:pStyle w:val="3"/>
        <w:spacing w:before="0" w:after="80"/>
      </w:pPr>
      <w:r>
        <w:t>多场景能力：办公、数据与软件工程</w:t>
      </w:r>
    </w:p>
    <w:p w14:paraId="39A18F23">
      <w:pPr>
        <w:keepNext w:val="0"/>
        <w:keepLines w:val="0"/>
        <w:spacing w:before="0" w:after="200" w:line="276" w:lineRule="auto"/>
        <w:jc w:val="left"/>
      </w:pPr>
      <w:r>
        <w:rPr>
          <w:rFonts w:ascii="Arial Unicode MS" w:hAnsi="Arial Unicode MS" w:eastAsia="Arial Unicode MS" w:cs="Arial Unicode MS"/>
          <w:b w:val="0"/>
          <w:i w:val="0"/>
          <w:color w:val="5F6F82"/>
          <w:sz w:val="19"/>
        </w:rPr>
        <w:t>同一控制协议复用不同 Skills 与工具链；本页只说明工作方式，不展示生成产品成果。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3000"/>
        <w:gridCol w:w="2750"/>
        <w:gridCol w:w="2310"/>
      </w:tblGrid>
      <w:tr w14:paraId="40D08D56">
        <w:trPr>
          <w:cantSplit/>
          <w:tblHeader/>
        </w:trPr>
        <w:tc>
          <w:tcPr>
            <w:tcW w:w="130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9617D"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场景</w:t>
            </w:r>
          </w:p>
        </w:tc>
        <w:tc>
          <w:tcPr>
            <w:tcW w:w="300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1BF06"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典型交付</w:t>
            </w:r>
          </w:p>
        </w:tc>
        <w:tc>
          <w:tcPr>
            <w:tcW w:w="275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32220"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专业团队</w:t>
            </w:r>
          </w:p>
        </w:tc>
        <w:tc>
          <w:tcPr>
            <w:tcW w:w="231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C9DF2"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验证证据</w:t>
            </w:r>
          </w:p>
        </w:tc>
      </w:tr>
      <w:tr w14:paraId="453D65C3">
        <w:trPr>
          <w:cantSplit/>
        </w:trPr>
        <w:tc>
          <w:tcPr>
            <w:tcW w:w="130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A1FA5"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0B2545"/>
                <w:sz w:val="18"/>
              </w:rPr>
              <w:t>办公交付</w:t>
            </w:r>
          </w:p>
        </w:tc>
        <w:tc>
          <w:tcPr>
            <w:tcW w:w="300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EA2E7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8"/>
              </w:rPr>
              <w:t>PPT、Word、表格、经营分析、调研报告</w:t>
            </w:r>
          </w:p>
        </w:tc>
        <w:tc>
          <w:tcPr>
            <w:tcW w:w="275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3CF44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8"/>
              </w:rPr>
              <w:t>研究、分析、编辑、审校、汇总</w:t>
            </w:r>
          </w:p>
        </w:tc>
        <w:tc>
          <w:tcPr>
            <w:tcW w:w="231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53E9C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8"/>
              </w:rPr>
              <w:t>页数、结构、公式、引用、渲染</w:t>
            </w:r>
          </w:p>
        </w:tc>
      </w:tr>
      <w:tr w14:paraId="66D85285">
        <w:trPr>
          <w:cantSplit/>
        </w:trPr>
        <w:tc>
          <w:tcPr>
            <w:tcW w:w="130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E7DA6"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0B2545"/>
                <w:sz w:val="18"/>
              </w:rPr>
              <w:t>数据工作</w:t>
            </w:r>
          </w:p>
        </w:tc>
        <w:tc>
          <w:tcPr>
            <w:tcW w:w="300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DF2E7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8"/>
              </w:rPr>
              <w:t>清洗、指标分析、图表、仪表盘、复核</w:t>
            </w:r>
          </w:p>
        </w:tc>
        <w:tc>
          <w:tcPr>
            <w:tcW w:w="275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12DA2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8"/>
              </w:rPr>
              <w:t>业务分析、数据工程、可视化、复核</w:t>
            </w:r>
          </w:p>
        </w:tc>
        <w:tc>
          <w:tcPr>
            <w:tcW w:w="231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2EA1D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8"/>
              </w:rPr>
              <w:t>行数、口径、查询、图表与异常</w:t>
            </w:r>
          </w:p>
        </w:tc>
      </w:tr>
      <w:tr w14:paraId="11570941">
        <w:trPr>
          <w:cantSplit/>
        </w:trPr>
        <w:tc>
          <w:tcPr>
            <w:tcW w:w="130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40504"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0B2545"/>
                <w:sz w:val="18"/>
              </w:rPr>
              <w:t>软件工程</w:t>
            </w:r>
          </w:p>
        </w:tc>
        <w:tc>
          <w:tcPr>
            <w:tcW w:w="300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2A477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8"/>
              </w:rPr>
              <w:t>需求、架构、开发、测试、修复、发布</w:t>
            </w:r>
          </w:p>
        </w:tc>
        <w:tc>
          <w:tcPr>
            <w:tcW w:w="275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36C84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8"/>
              </w:rPr>
              <w:t>产品、架构、前后端、QA、发布</w:t>
            </w:r>
          </w:p>
        </w:tc>
        <w:tc>
          <w:tcPr>
            <w:tcW w:w="231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1ED37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8"/>
              </w:rPr>
              <w:t>测试、构建、Diff、部署与回滚</w:t>
            </w:r>
          </w:p>
        </w:tc>
      </w:tr>
    </w:tbl>
    <w:p w14:paraId="62BAAEFC">
      <w:pPr>
        <w:spacing w:after="20"/>
      </w:pPr>
    </w:p>
    <w:p w14:paraId="7FF61461">
      <w:pPr>
        <w:spacing w:after="20"/>
      </w:pPr>
    </w:p>
    <w:p w14:paraId="01B734F0">
      <w:pPr>
        <w:pStyle w:val="4"/>
      </w:pPr>
      <w:r>
        <w:t>专业 Skills 让 Agent 从“会回答”升级为“会交付”</w:t>
      </w:r>
    </w:p>
    <w:p w14:paraId="2007D430"/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3900"/>
        <w:gridCol w:w="3910"/>
      </w:tblGrid>
      <w:tr w14:paraId="6179298F">
        <w:trPr>
          <w:cantSplit/>
          <w:tblHeader/>
        </w:trPr>
        <w:tc>
          <w:tcPr>
            <w:tcW w:w="155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34C75"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工作阶段</w:t>
            </w:r>
          </w:p>
        </w:tc>
        <w:tc>
          <w:tcPr>
            <w:tcW w:w="390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92CAB"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Skills 的作用</w:t>
            </w:r>
          </w:p>
        </w:tc>
        <w:tc>
          <w:tcPr>
            <w:tcW w:w="391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FA6F4"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BudgetLoop 的治理</w:t>
            </w:r>
          </w:p>
        </w:tc>
      </w:tr>
      <w:tr w14:paraId="74EBB898">
        <w:trPr>
          <w:cantSplit/>
        </w:trPr>
        <w:tc>
          <w:tcPr>
            <w:tcW w:w="155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EF78D"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0B2545"/>
                <w:sz w:val="18"/>
              </w:rPr>
              <w:t>理解任务</w:t>
            </w:r>
          </w:p>
        </w:tc>
        <w:tc>
          <w:tcPr>
            <w:tcW w:w="390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25F15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8"/>
              </w:rPr>
              <w:t>读取行业方法、模板和验收规范</w:t>
            </w:r>
          </w:p>
        </w:tc>
        <w:tc>
          <w:tcPr>
            <w:tcW w:w="391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D6ABB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8"/>
              </w:rPr>
              <w:t>智能路由选择合适团队与引擎</w:t>
            </w:r>
          </w:p>
        </w:tc>
      </w:tr>
      <w:tr w14:paraId="5AF9488D">
        <w:trPr>
          <w:cantSplit/>
        </w:trPr>
        <w:tc>
          <w:tcPr>
            <w:tcW w:w="155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0712B"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0B2545"/>
                <w:sz w:val="18"/>
              </w:rPr>
              <w:t>执行制作</w:t>
            </w:r>
          </w:p>
        </w:tc>
        <w:tc>
          <w:tcPr>
            <w:tcW w:w="390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40EDE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8"/>
              </w:rPr>
              <w:t>调用文档、表格、幻灯片、代码与浏览器工具</w:t>
            </w:r>
          </w:p>
        </w:tc>
        <w:tc>
          <w:tcPr>
            <w:tcW w:w="391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69BDF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8"/>
              </w:rPr>
              <w:t>独立工作区、角色预算与审批</w:t>
            </w:r>
          </w:p>
        </w:tc>
      </w:tr>
      <w:tr w14:paraId="62D00841">
        <w:trPr>
          <w:cantSplit/>
        </w:trPr>
        <w:tc>
          <w:tcPr>
            <w:tcW w:w="155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2AFD2"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0B2545"/>
                <w:sz w:val="18"/>
              </w:rPr>
              <w:t>独立验证</w:t>
            </w:r>
          </w:p>
        </w:tc>
        <w:tc>
          <w:tcPr>
            <w:tcW w:w="390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06F36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8"/>
              </w:rPr>
              <w:t>渲染、测试、数据复核与可访问性检查</w:t>
            </w:r>
          </w:p>
        </w:tc>
        <w:tc>
          <w:tcPr>
            <w:tcW w:w="391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CE64E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8"/>
              </w:rPr>
              <w:t>裁判读取事实并判定返工或通过</w:t>
            </w:r>
          </w:p>
        </w:tc>
      </w:tr>
      <w:tr w14:paraId="1755DE6D">
        <w:trPr>
          <w:cantSplit/>
        </w:trPr>
        <w:tc>
          <w:tcPr>
            <w:tcW w:w="155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66B72"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0B2545"/>
                <w:sz w:val="18"/>
              </w:rPr>
              <w:t>统一交付</w:t>
            </w:r>
          </w:p>
        </w:tc>
        <w:tc>
          <w:tcPr>
            <w:tcW w:w="390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A488F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8"/>
              </w:rPr>
              <w:t>整理工件、摘要、限制和后续建议</w:t>
            </w:r>
          </w:p>
        </w:tc>
        <w:tc>
          <w:tcPr>
            <w:tcW w:w="391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4505C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8"/>
              </w:rPr>
              <w:t>主管汇总跨 Session 工作成果</w:t>
            </w:r>
          </w:p>
        </w:tc>
      </w:tr>
    </w:tbl>
    <w:p w14:paraId="45499EB3">
      <w:pPr>
        <w:spacing w:after="20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BE89527">
        <w:trPr>
          <w:cantSplit/>
        </w:trPr>
        <w:tc>
          <w:tcPr>
            <w:tcW w:w="312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8E8C5">
            <w:pPr>
              <w:keepNext w:val="0"/>
              <w:keepLines w:val="0"/>
              <w:spacing w:before="0" w:after="40" w:line="240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5F6F82"/>
                <w:sz w:val="16"/>
              </w:rPr>
              <w:t>办公</w:t>
            </w:r>
          </w:p>
          <w:p w14:paraId="50B47A3B">
            <w:pPr>
              <w:keepNext w:val="0"/>
              <w:keepLines w:val="0"/>
              <w:spacing w:before="0" w:after="40" w:line="240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2F6BEB"/>
                <w:sz w:val="28"/>
              </w:rPr>
              <w:t>一套协议</w:t>
            </w:r>
          </w:p>
          <w:p w14:paraId="7BEE2067"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5F6F82"/>
                <w:sz w:val="16"/>
              </w:rPr>
              <w:t>多种交付格式</w:t>
            </w:r>
          </w:p>
        </w:tc>
        <w:tc>
          <w:tcPr>
            <w:tcW w:w="312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18087">
            <w:pPr>
              <w:keepNext w:val="0"/>
              <w:keepLines w:val="0"/>
              <w:spacing w:before="0" w:after="40" w:line="240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5F6F82"/>
                <w:sz w:val="16"/>
              </w:rPr>
              <w:t>数据</w:t>
            </w:r>
          </w:p>
          <w:p w14:paraId="287DF237">
            <w:pPr>
              <w:keepNext w:val="0"/>
              <w:keepLines w:val="0"/>
              <w:spacing w:before="0" w:after="40" w:line="240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5956A"/>
                <w:sz w:val="28"/>
              </w:rPr>
              <w:t>事实驱动</w:t>
            </w:r>
          </w:p>
          <w:p w14:paraId="61050A17"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5F6F82"/>
                <w:sz w:val="16"/>
              </w:rPr>
              <w:t>口径可追溯</w:t>
            </w:r>
          </w:p>
        </w:tc>
        <w:tc>
          <w:tcPr>
            <w:tcW w:w="312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94819">
            <w:pPr>
              <w:keepNext w:val="0"/>
              <w:keepLines w:val="0"/>
              <w:spacing w:before="0" w:after="40" w:line="240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5F6F82"/>
                <w:sz w:val="16"/>
              </w:rPr>
              <w:t>开发</w:t>
            </w:r>
          </w:p>
          <w:p w14:paraId="08948DBA">
            <w:pPr>
              <w:keepNext w:val="0"/>
              <w:keepLines w:val="0"/>
              <w:spacing w:before="0" w:after="40" w:line="240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B87800"/>
                <w:sz w:val="28"/>
              </w:rPr>
              <w:t>测试门禁</w:t>
            </w:r>
          </w:p>
          <w:p w14:paraId="10C9C3F7"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5F6F82"/>
                <w:sz w:val="16"/>
              </w:rPr>
              <w:t>失败可交接</w:t>
            </w:r>
          </w:p>
        </w:tc>
      </w:tr>
    </w:tbl>
    <w:p w14:paraId="7C73542C">
      <w:pPr>
        <w:spacing w:after="20"/>
      </w:pPr>
    </w:p>
    <w:p w14:paraId="6A4948F4">
      <w:pPr>
        <w:keepNext w:val="0"/>
        <w:keepLines/>
        <w:pBdr>
          <w:left w:val="single" w:color="2F6BEB" w:sz="18" w:space="10"/>
        </w:pBdr>
        <w:shd w:val="clear" w:fill="EEF4FF"/>
        <w:spacing w:before="40" w:after="0" w:line="276" w:lineRule="auto"/>
        <w:jc w:val="left"/>
      </w:pPr>
      <w:r>
        <w:rPr>
          <w:rFonts w:ascii="Arial Unicode MS" w:hAnsi="Arial Unicode MS" w:eastAsia="Arial Unicode MS" w:cs="Arial Unicode MS"/>
          <w:b/>
          <w:i w:val="0"/>
          <w:color w:val="2F6BEB"/>
          <w:sz w:val="20"/>
        </w:rPr>
        <w:t xml:space="preserve">适用边界  </w:t>
      </w:r>
      <w:r>
        <w:rPr>
          <w:rFonts w:ascii="Arial Unicode MS" w:hAnsi="Arial Unicode MS" w:eastAsia="Arial Unicode MS" w:cs="Arial Unicode MS"/>
          <w:b w:val="0"/>
          <w:i w:val="0"/>
          <w:color w:val="0B2545"/>
          <w:sz w:val="20"/>
        </w:rPr>
        <w:t>任务只要能够被工具执行、被可观察结果验证，就可以纳入同一套预算、审计与人工治理闭环。</w:t>
      </w:r>
    </w:p>
    <w:p w14:paraId="59E20C05">
      <w:r>
        <w:br w:type="page"/>
      </w:r>
    </w:p>
    <w:p w14:paraId="7EB68570">
      <w:pPr>
        <w:keepNext/>
        <w:keepLines w:val="0"/>
        <w:spacing w:before="0" w:after="80" w:line="240" w:lineRule="auto"/>
        <w:jc w:val="left"/>
      </w:pPr>
      <w:r>
        <w:rPr>
          <w:rFonts w:ascii="Arial Unicode MS" w:hAnsi="Arial Unicode MS" w:eastAsia="Arial Unicode MS" w:cs="Arial Unicode MS"/>
          <w:b/>
          <w:i w:val="0"/>
          <w:color w:val="2F6BEB"/>
          <w:sz w:val="17"/>
        </w:rPr>
        <w:t>08  |  BUDGETLOOP</w:t>
      </w:r>
    </w:p>
    <w:p w14:paraId="08E59796">
      <w:pPr>
        <w:keepNext w:val="0"/>
        <w:keepLines w:val="0"/>
        <w:spacing w:before="0" w:after="200" w:line="276" w:lineRule="auto"/>
        <w:jc w:val="left"/>
      </w:pPr>
      <w:r>
        <w:rPr>
          <w:rFonts w:ascii="Arial Unicode MS" w:hAnsi="Arial Unicode MS" w:eastAsia="Arial Unicode MS" w:cs="Arial Unicode MS"/>
          <w:b w:val="0"/>
          <w:i w:val="0"/>
          <w:color w:val="5F6F82"/>
          <w:sz w:val="19"/>
        </w:rPr>
        <w:t>先在一个可度量场景中验证成本、质量和人工介入，再复制到更多工作流。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77BB98A3">
        <w:trPr>
          <w:cantSplit/>
        </w:trPr>
        <w:tc>
          <w:tcPr>
            <w:tcW w:w="234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D51A5">
            <w:pPr>
              <w:keepNext w:val="0"/>
              <w:keepLines w:val="0"/>
              <w:spacing w:before="0" w:after="40" w:line="240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5F6F82"/>
                <w:sz w:val="16"/>
              </w:rPr>
              <w:t>选型门槛</w:t>
            </w:r>
          </w:p>
          <w:p w14:paraId="2862B563">
            <w:pPr>
              <w:keepNext w:val="0"/>
              <w:keepLines w:val="0"/>
              <w:spacing w:before="0" w:after="40" w:line="240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2F6BEB"/>
                <w:sz w:val="28"/>
              </w:rPr>
              <w:t>更低</w:t>
            </w:r>
          </w:p>
          <w:p w14:paraId="4526C4DD"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5F6F82"/>
                <w:sz w:val="16"/>
              </w:rPr>
              <w:t>目标驱动而非框架驱动</w:t>
            </w:r>
          </w:p>
        </w:tc>
        <w:tc>
          <w:tcPr>
            <w:tcW w:w="234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CE6B3">
            <w:pPr>
              <w:keepNext w:val="0"/>
              <w:keepLines w:val="0"/>
              <w:spacing w:before="0" w:after="40" w:line="240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5F6F82"/>
                <w:sz w:val="16"/>
              </w:rPr>
              <w:t>成本边界</w:t>
            </w:r>
          </w:p>
          <w:p w14:paraId="14FADAD6">
            <w:pPr>
              <w:keepNext w:val="0"/>
              <w:keepLines w:val="0"/>
              <w:spacing w:before="0" w:after="40" w:line="240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5956A"/>
                <w:sz w:val="28"/>
              </w:rPr>
              <w:t>更清晰</w:t>
            </w:r>
          </w:p>
          <w:p w14:paraId="285E1E0E"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5F6F82"/>
                <w:sz w:val="16"/>
              </w:rPr>
              <w:t>角色与团队两级预算</w:t>
            </w:r>
          </w:p>
        </w:tc>
        <w:tc>
          <w:tcPr>
            <w:tcW w:w="234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673EB">
            <w:pPr>
              <w:keepNext w:val="0"/>
              <w:keepLines w:val="0"/>
              <w:spacing w:before="0" w:after="40" w:line="240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5F6F82"/>
                <w:sz w:val="16"/>
              </w:rPr>
              <w:t>过程透明</w:t>
            </w:r>
          </w:p>
          <w:p w14:paraId="5051F08E">
            <w:pPr>
              <w:keepNext w:val="0"/>
              <w:keepLines w:val="0"/>
              <w:spacing w:before="0" w:after="40" w:line="240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28"/>
              </w:rPr>
              <w:t>可回放</w:t>
            </w:r>
          </w:p>
          <w:p w14:paraId="197E0029"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5F6F82"/>
                <w:sz w:val="16"/>
              </w:rPr>
              <w:t>Session、工具与证据</w:t>
            </w:r>
          </w:p>
        </w:tc>
        <w:tc>
          <w:tcPr>
            <w:tcW w:w="234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A3CF7">
            <w:pPr>
              <w:keepNext w:val="0"/>
              <w:keepLines w:val="0"/>
              <w:spacing w:before="0" w:after="40" w:line="240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5F6F82"/>
                <w:sz w:val="16"/>
              </w:rPr>
              <w:t>业务责任</w:t>
            </w:r>
          </w:p>
          <w:p w14:paraId="47AD6334">
            <w:pPr>
              <w:keepNext w:val="0"/>
              <w:keepLines w:val="0"/>
              <w:spacing w:before="0" w:after="40" w:line="240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B87800"/>
                <w:sz w:val="28"/>
              </w:rPr>
              <w:t>仍在人</w:t>
            </w:r>
          </w:p>
          <w:p w14:paraId="6889CC03"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5F6F82"/>
                <w:sz w:val="16"/>
              </w:rPr>
              <w:t>审批与随时介入</w:t>
            </w:r>
          </w:p>
        </w:tc>
      </w:tr>
    </w:tbl>
    <w:p w14:paraId="6A1D3B29">
      <w:pPr>
        <w:spacing w:after="20"/>
      </w:pPr>
    </w:p>
    <w:p w14:paraId="4BBCB255">
      <w:pPr>
        <w:pStyle w:val="4"/>
      </w:pPr>
      <w:r>
        <w:t>建议试点路径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2700"/>
        <w:gridCol w:w="3200"/>
        <w:gridCol w:w="2360"/>
      </w:tblGrid>
      <w:tr w14:paraId="2DB64B15">
        <w:trPr>
          <w:cantSplit/>
          <w:tblHeader/>
        </w:trPr>
        <w:tc>
          <w:tcPr>
            <w:tcW w:w="110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362BF"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w="270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2F559"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客户动作</w:t>
            </w:r>
          </w:p>
        </w:tc>
        <w:tc>
          <w:tcPr>
            <w:tcW w:w="320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37F93"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BudgetLoop 配置</w:t>
            </w:r>
          </w:p>
        </w:tc>
        <w:tc>
          <w:tcPr>
            <w:tcW w:w="236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AF487"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阶段产出</w:t>
            </w:r>
          </w:p>
        </w:tc>
      </w:tr>
      <w:tr w14:paraId="06074BC3">
        <w:trPr>
          <w:cantSplit/>
        </w:trPr>
        <w:tc>
          <w:tcPr>
            <w:tcW w:w="110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CD0D7"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0B2545"/>
                <w:sz w:val="17"/>
              </w:rPr>
              <w:t>1 选择</w:t>
            </w:r>
          </w:p>
        </w:tc>
        <w:tc>
          <w:tcPr>
            <w:tcW w:w="270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1F99A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7"/>
              </w:rPr>
              <w:t>挑选一个高频、可验收任务</w:t>
            </w:r>
          </w:p>
        </w:tc>
        <w:tc>
          <w:tcPr>
            <w:tcW w:w="320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CE37B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7"/>
              </w:rPr>
              <w:t>定义目标、附件与验收条件</w:t>
            </w:r>
          </w:p>
        </w:tc>
        <w:tc>
          <w:tcPr>
            <w:tcW w:w="236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7E6EE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7"/>
              </w:rPr>
              <w:t>清晰基线</w:t>
            </w:r>
          </w:p>
        </w:tc>
      </w:tr>
      <w:tr w14:paraId="66EC23D5">
        <w:trPr>
          <w:cantSplit/>
        </w:trPr>
        <w:tc>
          <w:tcPr>
            <w:tcW w:w="110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89E73"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0B2545"/>
                <w:sz w:val="17"/>
              </w:rPr>
              <w:t>2 配置</w:t>
            </w:r>
          </w:p>
        </w:tc>
        <w:tc>
          <w:tcPr>
            <w:tcW w:w="270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DE137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7"/>
              </w:rPr>
              <w:t>确认角色、风险与预算</w:t>
            </w:r>
          </w:p>
        </w:tc>
        <w:tc>
          <w:tcPr>
            <w:tcW w:w="320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E6C4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7"/>
              </w:rPr>
              <w:t>智能路由 + 团队模板 + 引擎</w:t>
            </w:r>
          </w:p>
        </w:tc>
        <w:tc>
          <w:tcPr>
            <w:tcW w:w="236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81B32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7"/>
              </w:rPr>
              <w:t>受控团队</w:t>
            </w:r>
          </w:p>
        </w:tc>
      </w:tr>
      <w:tr w14:paraId="54B9DB73">
        <w:trPr>
          <w:cantSplit/>
        </w:trPr>
        <w:tc>
          <w:tcPr>
            <w:tcW w:w="110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6277"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0B2545"/>
                <w:sz w:val="17"/>
              </w:rPr>
              <w:t>3 运行</w:t>
            </w:r>
          </w:p>
        </w:tc>
        <w:tc>
          <w:tcPr>
            <w:tcW w:w="270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6F179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7"/>
              </w:rPr>
              <w:t>在审批点介入</w:t>
            </w:r>
          </w:p>
        </w:tc>
        <w:tc>
          <w:tcPr>
            <w:tcW w:w="320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A38E9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7"/>
              </w:rPr>
              <w:t>Session 协作 + 裁判闭环 + 审计</w:t>
            </w:r>
          </w:p>
        </w:tc>
        <w:tc>
          <w:tcPr>
            <w:tcW w:w="236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2EA02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7"/>
              </w:rPr>
              <w:t>真实证据</w:t>
            </w:r>
          </w:p>
        </w:tc>
      </w:tr>
      <w:tr w14:paraId="50E7DCF1">
        <w:trPr>
          <w:cantSplit/>
        </w:trPr>
        <w:tc>
          <w:tcPr>
            <w:tcW w:w="110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11342"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0B2545"/>
                <w:sz w:val="17"/>
              </w:rPr>
              <w:t>4 固化</w:t>
            </w:r>
          </w:p>
        </w:tc>
        <w:tc>
          <w:tcPr>
            <w:tcW w:w="270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5413A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7"/>
              </w:rPr>
              <w:t>复盘质量、成本和人工步骤</w:t>
            </w:r>
          </w:p>
        </w:tc>
        <w:tc>
          <w:tcPr>
            <w:tcW w:w="320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F19E3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7"/>
              </w:rPr>
              <w:t>沉淀 Skills、预算策略与模板</w:t>
            </w:r>
          </w:p>
        </w:tc>
        <w:tc>
          <w:tcPr>
            <w:tcW w:w="236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69C9B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7"/>
              </w:rPr>
              <w:t>可复制流程</w:t>
            </w:r>
          </w:p>
        </w:tc>
      </w:tr>
    </w:tbl>
    <w:p w14:paraId="737AA22E">
      <w:pPr>
        <w:spacing w:after="20"/>
      </w:pPr>
    </w:p>
    <w:p w14:paraId="46717448">
      <w:pPr>
        <w:pStyle w:val="4"/>
      </w:pPr>
      <w:r>
        <w:t>部署与扩展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00F2B8A6">
        <w:trPr>
          <w:cantSplit/>
          <w:tblHeader/>
        </w:trPr>
        <w:tc>
          <w:tcPr>
            <w:tcW w:w="220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5F145"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能力</w:t>
            </w:r>
          </w:p>
        </w:tc>
        <w:tc>
          <w:tcPr>
            <w:tcW w:w="716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7F106"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客户价值</w:t>
            </w:r>
          </w:p>
        </w:tc>
      </w:tr>
      <w:tr w14:paraId="4CD5D421">
        <w:trPr>
          <w:cantSplit/>
        </w:trPr>
        <w:tc>
          <w:tcPr>
            <w:tcW w:w="220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11938"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0B2545"/>
                <w:sz w:val="18"/>
              </w:rPr>
              <w:t>自托管与隔离</w:t>
            </w:r>
          </w:p>
        </w:tc>
        <w:tc>
          <w:tcPr>
            <w:tcW w:w="716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26F9C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8"/>
              </w:rPr>
              <w:t>数据、凭据和工作区边界由组织掌握；高风险动作保留审批。</w:t>
            </w:r>
          </w:p>
        </w:tc>
      </w:tr>
      <w:tr w14:paraId="269C3C67">
        <w:trPr>
          <w:cantSplit/>
        </w:trPr>
        <w:tc>
          <w:tcPr>
            <w:tcW w:w="220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94171"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0B2545"/>
                <w:sz w:val="18"/>
              </w:rPr>
              <w:t>引擎可替换</w:t>
            </w:r>
          </w:p>
        </w:tc>
        <w:tc>
          <w:tcPr>
            <w:tcW w:w="716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F08B6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8"/>
              </w:rPr>
              <w:t>OpenHands、Codex、Gemini CLI 等执行引擎统一接入，不绑定单一供应商。</w:t>
            </w:r>
          </w:p>
        </w:tc>
      </w:tr>
      <w:tr w14:paraId="0874B772">
        <w:trPr>
          <w:cantSplit/>
        </w:trPr>
        <w:tc>
          <w:tcPr>
            <w:tcW w:w="220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3349A"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0B2545"/>
                <w:sz w:val="18"/>
              </w:rPr>
              <w:t>Skills 可扩展</w:t>
            </w:r>
          </w:p>
        </w:tc>
        <w:tc>
          <w:tcPr>
            <w:tcW w:w="716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DA49E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8"/>
              </w:rPr>
              <w:t>将行业方法、企业模板和验收标准沉淀为专业团队能力。</w:t>
            </w:r>
          </w:p>
        </w:tc>
      </w:tr>
      <w:tr w14:paraId="2425B2CB">
        <w:trPr>
          <w:cantSplit/>
        </w:trPr>
        <w:tc>
          <w:tcPr>
            <w:tcW w:w="220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B9707"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0B2545"/>
                <w:sz w:val="18"/>
              </w:rPr>
              <w:t>Session 可审计</w:t>
            </w:r>
          </w:p>
        </w:tc>
        <w:tc>
          <w:tcPr>
            <w:tcW w:w="7160" w:type="dxa"/>
            <w:tcBorders>
              <w:top w:val="single" w:color="D8E1EC" w:sz="8" w:space="0"/>
              <w:left w:val="single" w:color="D8E1EC" w:sz="8" w:space="0"/>
              <w:bottom w:val="single" w:color="D8E1EC" w:sz="8" w:space="0"/>
              <w:right w:val="single" w:color="D8E1EC" w:sz="8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90F0D">
            <w:pPr>
              <w:keepNext w:val="0"/>
              <w:keepLines w:val="0"/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0B2545"/>
                <w:sz w:val="18"/>
              </w:rPr>
              <w:t>消息、Handoff、工具事实、预算变化和最终报告均可追溯。</w:t>
            </w:r>
          </w:p>
        </w:tc>
      </w:tr>
    </w:tbl>
    <w:p w14:paraId="2CB49738">
      <w:pPr>
        <w:spacing w:after="20"/>
      </w:pPr>
    </w:p>
    <w:p w14:paraId="5A72DDAA">
      <w:pPr>
        <w:keepNext w:val="0"/>
        <w:keepLines w:val="0"/>
        <w:spacing w:before="100" w:after="360" w:line="300" w:lineRule="auto"/>
        <w:jc w:val="center"/>
      </w:pPr>
      <w:r>
        <w:rPr>
          <w:rFonts w:ascii="Arial Unicode MS" w:hAnsi="Arial Unicode MS" w:eastAsia="Arial Unicode MS" w:cs="Arial Unicode MS"/>
          <w:b/>
          <w:i w:val="0"/>
          <w:color w:val="1F4D78"/>
          <w:sz w:val="23"/>
        </w:rPr>
        <w:t>BudgetLoop 让企业使用多个 Agent 时，不再依赖“相信模型”，而是依赖可预算、可审计、可介入的交付系统。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E3552A">
    <w:pPr>
      <w:pStyle w:val="24"/>
      <w:keepNext w:val="0"/>
      <w:keepLines w:val="0"/>
      <w:spacing w:before="0" w:after="0" w:line="240" w:lineRule="auto"/>
      <w:jc w:val="right"/>
    </w:pPr>
    <w:r>
      <w:rPr>
        <w:rFonts w:ascii="Arial Unicode MS" w:hAnsi="Arial Unicode MS" w:eastAsia="Arial Unicode MS" w:cs="Arial Unicode MS"/>
        <w:b w:val="0"/>
        <w:i w:val="0"/>
        <w:color w:val="5F6F82"/>
        <w:sz w:val="17"/>
      </w:rPr>
      <w:t xml:space="preserve">第 </w:t>
    </w:r>
    <w:r>
      <w:rPr>
        <w:rFonts w:ascii="Arial Unicode MS" w:hAnsi="Arial Unicode MS" w:eastAsia="Arial Unicode MS" w:cs="Arial Unicode MS"/>
        <w:b w:val="0"/>
        <w:i w:val="0"/>
        <w:color w:val="5F6F82"/>
        <w:sz w:val="17"/>
      </w:rPr>
      <w:fldChar w:fldCharType="begin"/>
    </w:r>
    <w:r>
      <w:rPr>
        <w:rFonts w:ascii="Arial Unicode MS" w:hAnsi="Arial Unicode MS" w:eastAsia="Arial Unicode MS" w:cs="Arial Unicode MS"/>
        <w:b w:val="0"/>
        <w:i w:val="0"/>
        <w:color w:val="5F6F82"/>
        <w:sz w:val="17"/>
      </w:rPr>
      <w:instrText xml:space="preserve">PAGE</w:instrText>
    </w:r>
    <w:r>
      <w:rPr>
        <w:rFonts w:ascii="Arial Unicode MS" w:hAnsi="Arial Unicode MS" w:eastAsia="Arial Unicode MS" w:cs="Arial Unicode MS"/>
        <w:b w:val="0"/>
        <w:i w:val="0"/>
        <w:color w:val="5F6F82"/>
        <w:sz w:val="17"/>
      </w:rPr>
      <w:fldChar w:fldCharType="separate"/>
    </w:r>
    <w:r>
      <w:rPr>
        <w:rFonts w:ascii="Arial Unicode MS" w:hAnsi="Arial Unicode MS" w:eastAsia="Arial Unicode MS" w:cs="Arial Unicode MS"/>
        <w:b w:val="0"/>
        <w:i w:val="0"/>
        <w:color w:val="5F6F82"/>
        <w:sz w:val="17"/>
      </w:rPr>
      <w:t>1</w:t>
    </w:r>
    <w:r>
      <w:rPr>
        <w:rFonts w:ascii="Arial Unicode MS" w:hAnsi="Arial Unicode MS" w:eastAsia="Arial Unicode MS" w:cs="Arial Unicode MS"/>
        <w:b w:val="0"/>
        <w:i w:val="0"/>
        <w:color w:val="5F6F82"/>
        <w:sz w:val="17"/>
      </w:rPr>
      <w:fldChar w:fldCharType="end"/>
    </w:r>
    <w:r>
      <w:rPr>
        <w:rFonts w:ascii="Arial Unicode MS" w:hAnsi="Arial Unicode MS" w:eastAsia="Arial Unicode MS" w:cs="Arial Unicode MS"/>
        <w:b w:val="0"/>
        <w:i w:val="0"/>
        <w:color w:val="5F6F82"/>
        <w:sz w:val="17"/>
      </w:rPr>
      <w:t xml:space="preserve"> 页  /  共 8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633865">
    <w:pPr>
      <w:pStyle w:val="25"/>
      <w:keepNext w:val="0"/>
      <w:keepLines w:val="0"/>
      <w:spacing w:before="0" w:after="0" w:line="240" w:lineRule="auto"/>
      <w:jc w:val="left"/>
    </w:pPr>
    <w:r>
      <w:rPr>
        <w:rFonts w:ascii="Arial Unicode MS" w:hAnsi="Arial Unicode MS" w:eastAsia="Arial Unicode MS" w:cs="Arial Unicode MS"/>
        <w:b/>
        <w:i w:val="0"/>
        <w:color w:val="5F6F82"/>
        <w:sz w:val="16"/>
      </w:rPr>
      <w:t>BudgetLoop  |  可治理的专业 Agent 团队控制面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7DC388"/>
    <w:rsid w:val="5F7F0923"/>
    <w:rsid w:val="5FDD83D2"/>
    <w:rsid w:val="72FB01C1"/>
    <w:rsid w:val="7FC435FC"/>
    <w:rsid w:val="A7BD9427"/>
    <w:rsid w:val="BE7E59A2"/>
    <w:rsid w:val="CFF71CB0"/>
    <w:rsid w:val="F8725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64" w:lineRule="auto"/>
    </w:pPr>
    <w:rPr>
      <w:rFonts w:ascii="Arial Unicode MS" w:hAnsi="Arial Unicode MS" w:eastAsia="Arial Unicode MS" w:cs="Arial Unicode MS"/>
      <w:color w:val="0B2545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 w:line="264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 w:line="264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 w:line="264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keepNext w:val="0"/>
      <w:spacing w:before="80" w:after="80" w:line="252" w:lineRule="auto"/>
      <w:jc w:val="center"/>
    </w:pPr>
    <w:rPr>
      <w:rFonts w:ascii="Arial Unicode MS" w:hAnsi="Arial Unicode MS" w:eastAsia="Arial Unicode MS" w:cs="Arial Unicode MS"/>
      <w:b/>
      <w:bCs/>
      <w:color w:val="5F6F82"/>
      <w:sz w:val="17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before="0" w:after="280" w:line="276" w:lineRule="auto"/>
    </w:pPr>
    <w:rPr>
      <w:rFonts w:asciiTheme="majorHAnsi" w:hAnsiTheme="majorHAnsi" w:eastAsiaTheme="majorEastAsia" w:cstheme="majorBidi"/>
      <w:i/>
      <w:iCs/>
      <w:color w:val="5F6F82"/>
      <w:spacing w:val="15"/>
      <w:sz w:val="28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160" w:line="252" w:lineRule="auto"/>
      <w:contextualSpacing/>
    </w:pPr>
    <w:rPr>
      <w:rFonts w:asciiTheme="majorHAnsi" w:hAnsiTheme="majorHAnsi" w:eastAsiaTheme="majorEastAsia" w:cstheme="majorBidi"/>
      <w:b/>
      <w:color w:val="0B2545"/>
      <w:spacing w:val="5"/>
      <w:kern w:val="28"/>
      <w:sz w:val="6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ver Kicker"/>
    <w:uiPriority w:val="0"/>
    <w:pPr>
      <w:spacing w:after="360" w:line="276" w:lineRule="auto"/>
      <w:jc w:val="center"/>
    </w:pPr>
    <w:rPr>
      <w:rFonts w:ascii="Arial Unicode MS" w:hAnsi="Arial Unicode MS" w:eastAsia="Arial Unicode MS" w:cs="Arial Unicode MS"/>
      <w:b/>
      <w:color w:val="2F6BEB"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BudgetLoop</dc:creator>
  <dc:description>generated by python-docx</dc:description>
  <cp:keywords>BudgetLoop, Agent Team, OpenHands, Codex, Gemini CLI, 预算, 审计</cp:keywords>
  <cp:lastModifiedBy>小盼</cp:lastModifiedBy>
  <dcterms:modified xsi:type="dcterms:W3CDTF">2026-08-10T18:17:38Z</dcterms:modified>
  <dc:subject>智能路由、Session 协作、预算审计与人机治理客户方案</dc:subject>
  <dc:title>BudgetLoop 可治理的专业 Agent 团队控制面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EBC652F5A8E8D9C6BA4B796A25BCE971_42</vt:lpwstr>
  </property>
</Properties>
</file>