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INFORME DE CERTIFICACIÓN DE CALIDAD Y SEGURIDAD</w:t>
      </w:r>
    </w:p>
    <w:p>
      <w:pPr>
        <w:jc w:val="center"/>
      </w:pPr>
      <w:r>
        <w:rPr>
          <w:i/>
          <w:sz w:val="24"/>
        </w:rPr>
        <w:t>Sistema Cuidarte+ — Plataforma de gestión de pacientes, exámenes y documentos clínicos</w:t>
      </w:r>
    </w:p>
    <w:p/>
    <w:p>
      <w:r>
        <w:rPr>
          <w:b/>
        </w:rPr>
        <w:t xml:space="preserve">Asignatura: </w:t>
      </w:r>
      <w:r>
        <w:t>ISY1102 — Seguridad y Calidad en el Desarrollo de Software</w:t>
      </w:r>
    </w:p>
    <w:p>
      <w:r>
        <w:rPr>
          <w:b/>
        </w:rPr>
        <w:t xml:space="preserve">Sección: </w:t>
      </w:r>
      <w:r>
        <w:t>(completar)</w:t>
      </w:r>
    </w:p>
    <w:p>
      <w:r>
        <w:rPr>
          <w:b/>
        </w:rPr>
        <w:t xml:space="preserve">Equipo (Grupo 1): </w:t>
      </w:r>
      <w:r>
        <w:t>Benjamín Ibáñez — Gerardo Vera</w:t>
      </w:r>
    </w:p>
    <w:p>
      <w:r>
        <w:rPr>
          <w:b/>
        </w:rPr>
        <w:t xml:space="preserve">Fecha: </w:t>
      </w:r>
      <w:r>
        <w:t>16-10-2026</w:t>
      </w:r>
    </w:p>
    <w:p>
      <w:r>
        <w:rPr>
          <w:b/>
        </w:rPr>
        <w:t xml:space="preserve">Versión: </w:t>
      </w:r>
      <w:r>
        <w:t>Borrador 2 — con resultados de ejecución CP001–CP008 y análisis SonarQube (16-10-2026)</w:t>
      </w:r>
    </w:p>
    <w:p/>
    <w:p>
      <w:r>
        <w:rPr>
          <w:b w:val="0"/>
          <w:i/>
        </w:rPr>
        <w:t>Documento de trabajo elaborado en la clase de Unidad 2.4. Registra únicamente lo que el equipo pudo observar y comprobar; los resultados no ejecutados se declaran como pendientes. No se modificó el código fuente (lo prohíbe la pauta de la actividad 2.3): los defectos se registran y se recomienda su corrección.</w:t>
      </w:r>
    </w:p>
    <w:p>
      <w:r>
        <w:br w:type="page"/>
      </w:r>
    </w:p>
    <w:p>
      <w:pPr>
        <w:pStyle w:val="Heading1"/>
      </w:pPr>
      <w:r>
        <w:t>1. Resumen ejecutivo y veredicto</w:t>
      </w:r>
    </w:p>
    <w:p>
      <w:r>
        <w:rPr>
          <w:b w:val="0"/>
          <w:i w:val="0"/>
        </w:rPr>
        <w:t>El equipo reunió la evidencia de las unidades 2.1 a 2.3 del caso Cuidarte+ (Plan Maestro de pruebas, diseño de casos, bitácora y revisión manual de código) y completó la ejecución planificada. Los 8 casos de prueba (CP001–CP008) fueron ejecutados con 7 aprobados y 1 fallido (CP006), y el análisis estático automatizado con SonarQube se ejecutó sobre el repositorio. La revisión manual de código, guiada por OWASP Top 10, identificó 1 hallazgo crítico, 3 graves, 2 moderados y 1 leve, concentrados en credenciales, sesiones y validación de identidad; la ejecución de CP006 confirmó en vivo el riesgo de sesiones no revocables (H-02). El análisis con SonarQube Community 9.9.8 (10.133 líneas de código) arrojó Quality Gate OK en esta línea base, 73 issues (1 bug, 72 code smells — 8 críticos —, 0 vulnerabilidades), 3 security hotspots, 14,5% de duplicación y 0% de cobertura por ausencia de reportes LCOV. Con toda la evidencia reunida, el veredicto es GO CONDICIONADO.</w:t>
      </w:r>
    </w:p>
    <w:p>
      <w:r>
        <w:rPr>
          <w:b/>
          <w:sz w:val="26"/>
        </w:rPr>
        <w:t>Veredicto: GO CONDICIONADO.</w:t>
      </w:r>
    </w:p>
    <w:p>
      <w:r>
        <w:rPr>
          <w:b w:val="0"/>
          <w:i w:val="0"/>
        </w:rPr>
        <w:t>No existe una falla funcional bloqueante en los flujos probados (registro de pacientes, control de acceso y documentos), pero los hallazgos de seguridad sobre credenciales y sesiones (H-01 y H-02 — este último confirmado en vivo por CP006), la validación incompleta de identidad (H-03) y la configuración de exposición de archivos (H-04) deben corregirse obligatoriamente antes de liberar el sistema a producción. Si estas condiciones no se cumplen, el veredicto debe escalar a NO-GO.</w:t>
      </w:r>
    </w:p>
    <w:p>
      <w:pPr>
        <w:pStyle w:val="Heading2"/>
      </w:pPr>
      <w:r>
        <w:t>Condiciones para liberar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Hallazgo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Acción requerida antes de liberar</w:t>
            </w:r>
          </w:p>
        </w:tc>
      </w:tr>
      <w:tr>
        <w:tc>
          <w:tcPr>
            <w:tcW w:type="dxa" w:w="2880"/>
          </w:tcPr>
          <w:p>
            <w:r>
              <w:t>Obligatoria</w:t>
            </w:r>
          </w:p>
        </w:tc>
        <w:tc>
          <w:tcPr>
            <w:tcW w:type="dxa" w:w="2880"/>
          </w:tcPr>
          <w:p>
            <w:r>
              <w:t>H-01 — Contraseñas almacenadas y comparadas en texto plano</w:t>
            </w:r>
          </w:p>
        </w:tc>
        <w:tc>
          <w:tcPr>
            <w:tcW w:type="dxa" w:w="2880"/>
          </w:tcPr>
          <w:p>
            <w:r>
              <w:t>Migrar a hash con sal (bcrypt/argon2); migrar credenciales existentes y re-certificar el login.</w:t>
            </w:r>
          </w:p>
        </w:tc>
      </w:tr>
      <w:tr>
        <w:tc>
          <w:tcPr>
            <w:tcW w:type="dxa" w:w="2880"/>
          </w:tcPr>
          <w:p>
            <w:r>
              <w:t>Obligatoria</w:t>
            </w:r>
          </w:p>
        </w:tc>
        <w:tc>
          <w:tcPr>
            <w:tcW w:type="dxa" w:w="2880"/>
          </w:tcPr>
          <w:p>
            <w:r>
              <w:t>H-02 — Sesiones JWT sin revocación y secreto con valor por defecto inseguro</w:t>
            </w:r>
          </w:p>
        </w:tc>
        <w:tc>
          <w:tcPr>
            <w:tcW w:type="dxa" w:w="2880"/>
          </w:tcPr>
          <w:p>
            <w:r>
              <w:t>Implementar logout/revocación de sesión; exigir un secreto fuerte definido por entorno (fallar si no existe); evaluar expiración y refresh.</w:t>
            </w:r>
          </w:p>
        </w:tc>
      </w:tr>
      <w:tr>
        <w:tc>
          <w:tcPr>
            <w:tcW w:type="dxa" w:w="2880"/>
          </w:tcPr>
          <w:p>
            <w:r>
              <w:t>Obligatoria</w:t>
            </w:r>
          </w:p>
        </w:tc>
        <w:tc>
          <w:tcPr>
            <w:tcW w:type="dxa" w:w="2880"/>
          </w:tcPr>
          <w:p>
            <w:r>
              <w:t>H-03 — RUT validado solo por formato, sin dígito verificador</w:t>
            </w:r>
          </w:p>
        </w:tc>
        <w:tc>
          <w:tcPr>
            <w:tcW w:type="dxa" w:w="2880"/>
          </w:tcPr>
          <w:p>
            <w:r>
              <w:t>Implementar validación módulo 11 del DV y rechazar RUT inválidos; re-validar registros existentes.</w:t>
            </w:r>
          </w:p>
        </w:tc>
      </w:tr>
      <w:tr>
        <w:tc>
          <w:tcPr>
            <w:tcW w:type="dxa" w:w="2880"/>
          </w:tcPr>
          <w:p>
            <w:r>
              <w:t>Obligatoria</w:t>
            </w:r>
          </w:p>
        </w:tc>
        <w:tc>
          <w:tcPr>
            <w:tcW w:type="dxa" w:w="2880"/>
          </w:tcPr>
          <w:p>
            <w:r>
              <w:t>H-04 — Directorio de documentos servido como estático sin autenticación (riesgo latente)</w:t>
            </w:r>
          </w:p>
        </w:tc>
        <w:tc>
          <w:tcPr>
            <w:tcW w:type="dxa" w:w="2880"/>
          </w:tcPr>
          <w:p>
            <w:r>
              <w:t>Eliminar el montaje /files/documentos o protegerlo con autenticación y control de acceso; usar solo el endpoint con RBAC.</w:t>
            </w:r>
          </w:p>
        </w:tc>
      </w:tr>
      <w:tr>
        <w:tc>
          <w:tcPr>
            <w:tcW w:type="dxa" w:w="2880"/>
          </w:tcPr>
          <w:p>
            <w:r>
              <w:t>Recomendada</w:t>
            </w:r>
          </w:p>
        </w:tc>
        <w:tc>
          <w:tcPr>
            <w:tcW w:type="dxa" w:w="2880"/>
          </w:tcPr>
          <w:p>
            <w:r>
              <w:t>H-05 — Retardo intencional de 5 s en endpoints de listado/creación</w:t>
            </w:r>
          </w:p>
        </w:tc>
        <w:tc>
          <w:tcPr>
            <w:tcW w:type="dxa" w:w="2880"/>
          </w:tcPr>
          <w:p>
            <w:r>
              <w:t>Retirar el middleware de delay en entornos reales y medir tiempos de respuesta.</w:t>
            </w:r>
          </w:p>
        </w:tc>
      </w:tr>
      <w:tr>
        <w:tc>
          <w:tcPr>
            <w:tcW w:type="dxa" w:w="2880"/>
          </w:tcPr>
          <w:p>
            <w:r>
              <w:t>Recomendada</w:t>
            </w:r>
          </w:p>
        </w:tc>
        <w:tc>
          <w:tcPr>
            <w:tcW w:type="dxa" w:w="2880"/>
          </w:tcPr>
          <w:p>
            <w:r>
              <w:t>H-06 — CORS abierto sin restricción de origen</w:t>
            </w:r>
          </w:p>
        </w:tc>
        <w:tc>
          <w:tcPr>
            <w:tcW w:type="dxa" w:w="2880"/>
          </w:tcPr>
          <w:p>
            <w:r>
              <w:t>Restringir CORS al origen del frontend.</w:t>
            </w:r>
          </w:p>
        </w:tc>
      </w:tr>
      <w:tr>
        <w:tc>
          <w:tcPr>
            <w:tcW w:type="dxa" w:w="2880"/>
          </w:tcPr>
          <w:p>
            <w:r>
              <w:t>Recomendada</w:t>
            </w:r>
          </w:p>
        </w:tc>
        <w:tc>
          <w:tcPr>
            <w:tcW w:type="dxa" w:w="2880"/>
          </w:tcPr>
          <w:p>
            <w:r>
              <w:t>H-07 — Mensajes de error internos expuestos al cliente</w:t>
            </w:r>
          </w:p>
        </w:tc>
        <w:tc>
          <w:tcPr>
            <w:tcW w:type="dxa" w:w="2880"/>
          </w:tcPr>
          <w:p>
            <w:r>
              <w:t>Responder mensajes genéricos; conservar el detalle técnico solo en los logs del servidor.</w:t>
            </w:r>
          </w:p>
        </w:tc>
      </w:tr>
    </w:tbl>
    <w:p/>
    <w:p>
      <w:pPr>
        <w:pStyle w:val="Heading1"/>
      </w:pPr>
      <w:r>
        <w:t>2. Alcance y limitaciones</w:t>
      </w:r>
    </w:p>
    <w:p>
      <w:pPr>
        <w:pStyle w:val="Heading2"/>
      </w:pPr>
      <w:r>
        <w:t>Alcance de las pruebas</w:t>
      </w:r>
    </w:p>
    <w:p>
      <w:pPr>
        <w:pStyle w:val="ListBullet"/>
      </w:pPr>
      <w:r>
        <w:t>Módulo de registro de pacientes (POST /pacientes): validaciones de formulario, duplicados y caso de borde (CP001–CP004, ejecutados).</w:t>
      </w:r>
    </w:p>
    <w:p>
      <w:pPr>
        <w:pStyle w:val="ListBullet"/>
      </w:pPr>
      <w:r>
        <w:t>Seguridad de sesión, control de acceso por roles y gestión de documentos vía API (CP005–CP008, ejecutados).</w:t>
      </w:r>
    </w:p>
    <w:p>
      <w:pPr>
        <w:pStyle w:val="ListBullet"/>
      </w:pPr>
      <w:r>
        <w:t>Revisión estática manual del backend (Express/Node.js) con foco en autenticación, sesión, control de acceso, validación de datos, manejo de archivos y de errores.</w:t>
      </w:r>
    </w:p>
    <w:p>
      <w:pPr>
        <w:pStyle w:val="ListBullet"/>
      </w:pPr>
      <w:r>
        <w:t>Análisis estático automatizado del backend y frontend con SonarQube Community 9.9.8 (ejecutado el 16-10-2026 sobre 10.133 líneas de código).</w:t>
      </w:r>
    </w:p>
    <w:p>
      <w:pPr>
        <w:pStyle w:val="ListBullet"/>
      </w:pPr>
      <w:r>
        <w:t>Entorno de pruebas completo en Docker: frontend (3333), backend/API (4444) y PostgreSQL (15442), con datos de prueba ficticios.</w:t>
      </w:r>
    </w:p>
    <w:p>
      <w:pPr>
        <w:pStyle w:val="Heading2"/>
      </w:pPr>
      <w:r>
        <w:t>Limitaciones</w:t>
      </w:r>
    </w:p>
    <w:p>
      <w:pPr>
        <w:pStyle w:val="ListBullet"/>
      </w:pPr>
      <w:r>
        <w:t>8 de 8 casos ejecutados (7 Pass, 1 Fail): el fallo de CP006 corresponde a un defecto real del sistema (H-02), no a un error de la prueba.</w:t>
      </w:r>
    </w:p>
    <w:p>
      <w:pPr>
        <w:pStyle w:val="ListBullet"/>
      </w:pPr>
      <w:r>
        <w:t>El análisis SonarQube 9.9.8 corresponde a la primera ejecución (línea base): no hay versión anterior contra la cual comparar; la cobertura reportada es 0% porque el repositorio no incluye reportes de cobertura (LCOV) en esta entrega.</w:t>
      </w:r>
    </w:p>
    <w:p>
      <w:pPr>
        <w:pStyle w:val="ListBullet"/>
      </w:pPr>
      <w:r>
        <w:t>No se realizaron pruebas de carga con usuarios concurrentes ni DAST (OWASP ZAP); los tiempos medidos incluyen el retardo intencional de 5 s (H-05) en los endpoints afectados.</w:t>
      </w:r>
    </w:p>
    <w:p>
      <w:pPr>
        <w:pStyle w:val="ListBullet"/>
      </w:pPr>
      <w:r>
        <w:t>No se corrigió código fuente: los defectos encontrados se registran y recomiendan, según lo exige la pauta de la actividad 2.3.</w:t>
      </w:r>
    </w:p>
    <w:p>
      <w:pPr>
        <w:pStyle w:val="Heading1"/>
      </w:pPr>
      <w:r>
        <w:t>3. Estrategia, herramientas y tipos de prueba utilizados</w:t>
      </w:r>
    </w:p>
    <w:p>
      <w:r>
        <w:rPr>
          <w:b w:val="0"/>
          <w:i w:val="0"/>
        </w:rPr>
        <w:t>La estrategia fue mixta: pruebas manuales de los flujos críticos (interfaz web + API con Swagger/Postman), revisión estática manual del código guiada por OWASP Top 10, análisis estático automatizado con SonarQube y contenedores Docker para reproducir el entorno real. La priorización se basó en los riesgos del Plan Maestro (RS-01 a RS-04): seguridad de sesión y datos primero, luego validaciones funcionales y rendimiento.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Tipo de prueba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Qué verifica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Herramienta o técnica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Estado</w:t>
            </w:r>
          </w:p>
        </w:tc>
      </w:tr>
      <w:tr>
        <w:tc>
          <w:tcPr>
            <w:tcW w:type="dxa" w:w="2160"/>
          </w:tcPr>
          <w:p>
            <w:r>
              <w:t>Funcionales y de borde</w:t>
            </w:r>
          </w:p>
        </w:tc>
        <w:tc>
          <w:tcPr>
            <w:tcW w:type="dxa" w:w="2160"/>
          </w:tcPr>
          <w:p>
            <w:r>
              <w:t>Registro y listado de pacientes con datos válidos, inválidos, duplicados y de borde; descarga de documentos</w:t>
            </w:r>
          </w:p>
        </w:tc>
        <w:tc>
          <w:tcPr>
            <w:tcW w:type="dxa" w:w="2160"/>
          </w:tcPr>
          <w:p>
            <w:r>
              <w:t>Interfaz web + Swagger/Postman</w:t>
            </w:r>
          </w:p>
        </w:tc>
        <w:tc>
          <w:tcPr>
            <w:tcW w:type="dxa" w:w="2160"/>
          </w:tcPr>
          <w:p>
            <w:r>
              <w:t>Ejecutado: CP001–CP004 (4 Pass) y CP008 (Pass)</w:t>
            </w:r>
          </w:p>
        </w:tc>
      </w:tr>
      <w:tr>
        <w:tc>
          <w:tcPr>
            <w:tcW w:type="dxa" w:w="2160"/>
          </w:tcPr>
          <w:p>
            <w:r>
              <w:t>Seguridad — control de acceso y sesión</w:t>
            </w:r>
          </w:p>
        </w:tc>
        <w:tc>
          <w:tcPr>
            <w:tcW w:type="dxa" w:w="2160"/>
          </w:tcPr>
          <w:p>
            <w:r>
              <w:t>Acceso sin token (401), por rol y propiedad (403), login, reuso de token tras logout</w:t>
            </w:r>
          </w:p>
        </w:tc>
        <w:tc>
          <w:tcPr>
            <w:tcW w:type="dxa" w:w="2160"/>
          </w:tcPr>
          <w:p>
            <w:r>
              <w:t>API (curl/Postman) + revisión de código</w:t>
            </w:r>
          </w:p>
        </w:tc>
        <w:tc>
          <w:tcPr>
            <w:tcW w:type="dxa" w:w="2160"/>
          </w:tcPr>
          <w:p>
            <w:r>
              <w:t>Ejecutado: CP005 Pass, CP006 Fail (confirma H-02), CP007 Pass</w:t>
            </w:r>
          </w:p>
        </w:tc>
      </w:tr>
      <w:tr>
        <w:tc>
          <w:tcPr>
            <w:tcW w:type="dxa" w:w="2160"/>
          </w:tcPr>
          <w:p>
            <w:r>
              <w:t>Seguridad — análisis estático</w:t>
            </w:r>
          </w:p>
        </w:tc>
        <w:tc>
          <w:tcPr>
            <w:tcW w:type="dxa" w:w="2160"/>
          </w:tcPr>
          <w:p>
            <w:r>
              <w:t>Almacenamiento de contraseñas, secreto JWT, configuraciones riesgosas de archivos y CORS; calidad interna del código</w:t>
            </w:r>
          </w:p>
        </w:tc>
        <w:tc>
          <w:tcPr>
            <w:tcW w:type="dxa" w:w="2160"/>
          </w:tcPr>
          <w:p>
            <w:r>
              <w:t>Revisión manual OWASP Top 10 + SonarQube 9.9.8</w:t>
            </w:r>
          </w:p>
        </w:tc>
        <w:tc>
          <w:tcPr>
            <w:tcW w:type="dxa" w:w="2160"/>
          </w:tcPr>
          <w:p>
            <w:r>
              <w:t>Ejecutado: 7 hallazgos manuales; SonarQube con QG OK, 73 issues (8 críticos), 0 vulnerabilidades</w:t>
            </w:r>
          </w:p>
        </w:tc>
      </w:tr>
      <w:tr>
        <w:tc>
          <w:tcPr>
            <w:tcW w:type="dxa" w:w="2160"/>
          </w:tcPr>
          <w:p>
            <w:r>
              <w:t>Rendimiento</w:t>
            </w:r>
          </w:p>
        </w:tc>
        <w:tc>
          <w:tcPr>
            <w:tcW w:type="dxa" w:w="2160"/>
          </w:tcPr>
          <w:p>
            <w:r>
              <w:t>Tiempos de respuesta de CRUD (incluye retardo intencional de 5 s)</w:t>
            </w:r>
          </w:p>
        </w:tc>
        <w:tc>
          <w:tcPr>
            <w:tcW w:type="dxa" w:w="2160"/>
          </w:tcPr>
          <w:p>
            <w:r>
              <w:t>Medición con la API (curl) + revisión de código; JMeter planificado</w:t>
            </w:r>
          </w:p>
        </w:tc>
        <w:tc>
          <w:tcPr>
            <w:tcW w:type="dxa" w:w="2160"/>
          </w:tcPr>
          <w:p>
            <w:r>
              <w:t>Parcial: CP007 5.036 ms, CP008 (carga 5.050 ms / descarga 37 ms); metas formales pendientes</w:t>
            </w:r>
          </w:p>
        </w:tc>
      </w:tr>
      <w:tr>
        <w:tc>
          <w:tcPr>
            <w:tcW w:type="dxa" w:w="2160"/>
          </w:tcPr>
          <w:p>
            <w:r>
              <w:t>Usabilidad</w:t>
            </w:r>
          </w:p>
        </w:tc>
        <w:tc>
          <w:tcPr>
            <w:tcW w:type="dxa" w:w="2160"/>
          </w:tcPr>
          <w:p>
            <w:r>
              <w:t>Claridad de mensajes de error del formulario de pacientes</w:t>
            </w:r>
          </w:p>
        </w:tc>
        <w:tc>
          <w:tcPr>
            <w:tcW w:type="dxa" w:w="2160"/>
          </w:tcPr>
          <w:p>
            <w:r>
              <w:t>Lista de chequeo de interfaz</w:t>
            </w:r>
          </w:p>
        </w:tc>
        <w:tc>
          <w:tcPr>
            <w:tcW w:type="dxa" w:w="2160"/>
          </w:tcPr>
          <w:p>
            <w:r>
              <w:t>Parcial (evidencias CP002 y CP004)</w:t>
            </w:r>
          </w:p>
        </w:tc>
      </w:tr>
      <w:tr>
        <w:tc>
          <w:tcPr>
            <w:tcW w:type="dxa" w:w="2160"/>
          </w:tcPr>
          <w:p>
            <w:r>
              <w:t>Integración</w:t>
            </w:r>
          </w:p>
        </w:tc>
        <w:tc>
          <w:tcPr>
            <w:tcW w:type="dxa" w:w="2160"/>
          </w:tcPr>
          <w:p>
            <w:r>
              <w:t>Comunicación frontend–backend–base de datos en contenedores</w:t>
            </w:r>
          </w:p>
        </w:tc>
        <w:tc>
          <w:tcPr>
            <w:tcW w:type="dxa" w:w="2160"/>
          </w:tcPr>
          <w:p>
            <w:r>
              <w:t>docker ps, docker compose logs, Swagger</w:t>
            </w:r>
          </w:p>
        </w:tc>
        <w:tc>
          <w:tcPr>
            <w:tcW w:type="dxa" w:w="2160"/>
          </w:tcPr>
          <w:p>
            <w:r>
              <w:t>Ejecutado (entorno de pruebas operativo)</w:t>
            </w:r>
          </w:p>
        </w:tc>
      </w:tr>
    </w:tbl>
    <w:p/>
    <w:p>
      <w:pPr>
        <w:pStyle w:val="Heading1"/>
      </w:pPr>
      <w:r>
        <w:t>4. Cobertura de requerimientos y casos ejecutados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Requisito o necesidad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Casos asociados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Estado de cobertura</w:t>
            </w:r>
          </w:p>
        </w:tc>
      </w:tr>
      <w:tr>
        <w:tc>
          <w:tcPr>
            <w:tcW w:type="dxa" w:w="2160"/>
          </w:tcPr>
          <w:p>
            <w:r>
              <w:t>Registro de pacientes con validaciones (RUT, nombre, email, fecha, sexo, duplicados)</w:t>
            </w:r>
          </w:p>
        </w:tc>
        <w:tc>
          <w:tcPr>
            <w:tcW w:type="dxa" w:w="2160"/>
          </w:tcPr>
          <w:p>
            <w:r>
              <w:t>RQ-07</w:t>
            </w:r>
          </w:p>
        </w:tc>
        <w:tc>
          <w:tcPr>
            <w:tcW w:type="dxa" w:w="2160"/>
          </w:tcPr>
          <w:p>
            <w:r>
              <w:t>CP001–CP004</w:t>
            </w:r>
          </w:p>
        </w:tc>
        <w:tc>
          <w:tcPr>
            <w:tcW w:type="dxa" w:w="2160"/>
          </w:tcPr>
          <w:p>
            <w:r>
              <w:t>Ejecutado: 4/4 aprobados. Hallazgo H-03 en validación de RUT (DV)</w:t>
            </w:r>
          </w:p>
        </w:tc>
      </w:tr>
      <w:tr>
        <w:tc>
          <w:tcPr>
            <w:tcW w:type="dxa" w:w="2160"/>
          </w:tcPr>
          <w:p>
            <w:r>
              <w:t>Autenticación y gestión de sesión (JWT, expiración 2 h)</w:t>
            </w:r>
          </w:p>
        </w:tc>
        <w:tc>
          <w:tcPr>
            <w:tcW w:type="dxa" w:w="2160"/>
          </w:tcPr>
          <w:p>
            <w:r>
              <w:t>RQ-01</w:t>
            </w:r>
          </w:p>
        </w:tc>
        <w:tc>
          <w:tcPr>
            <w:tcW w:type="dxa" w:w="2160"/>
          </w:tcPr>
          <w:p>
            <w:r>
              <w:t>CP005, CP006</w:t>
            </w:r>
          </w:p>
        </w:tc>
        <w:tc>
          <w:tcPr>
            <w:tcW w:type="dxa" w:w="2160"/>
          </w:tcPr>
          <w:p>
            <w:r>
              <w:t>Ejecutado: CP005 Pass (token válido y rol médico en el JWT); CP006 Fail: el token sigue válido tras cerrar sesión (confirma H-02)</w:t>
            </w:r>
          </w:p>
        </w:tc>
      </w:tr>
      <w:tr>
        <w:tc>
          <w:tcPr>
            <w:tcW w:type="dxa" w:w="2160"/>
          </w:tcPr>
          <w:p>
            <w:r>
              <w:t>Control de acceso por roles (paciente / médico / administrador)</w:t>
            </w:r>
          </w:p>
        </w:tc>
        <w:tc>
          <w:tcPr>
            <w:tcW w:type="dxa" w:w="2160"/>
          </w:tcPr>
          <w:p>
            <w:r>
              <w:t>RQ-02</w:t>
            </w:r>
          </w:p>
        </w:tc>
        <w:tc>
          <w:tcPr>
            <w:tcW w:type="dxa" w:w="2160"/>
          </w:tcPr>
          <w:p>
            <w:r>
              <w:t>CP007</w:t>
            </w:r>
          </w:p>
        </w:tc>
        <w:tc>
          <w:tcPr>
            <w:tcW w:type="dxa" w:w="2160"/>
          </w:tcPr>
          <w:p>
            <w:r>
              <w:t>Ejecutado: Pass — una paciente intentó modificar un examen (PUT) y recibió 403 sin cambios en la base de datos</w:t>
            </w:r>
          </w:p>
        </w:tc>
      </w:tr>
      <w:tr>
        <w:tc>
          <w:tcPr>
            <w:tcW w:type="dxa" w:w="2160"/>
          </w:tcPr>
          <w:p>
            <w:r>
              <w:t>Registro y modificación de exámenes y documentos clínicos</w:t>
            </w:r>
          </w:p>
        </w:tc>
        <w:tc>
          <w:tcPr>
            <w:tcW w:type="dxa" w:w="2160"/>
          </w:tcPr>
          <w:p>
            <w:r>
              <w:t>RQ-03</w:t>
            </w:r>
          </w:p>
        </w:tc>
        <w:tc>
          <w:tcPr>
            <w:tcW w:type="dxa" w:w="2160"/>
          </w:tcPr>
          <w:p>
            <w:r>
              <w:t>CP008</w:t>
            </w:r>
          </w:p>
        </w:tc>
        <w:tc>
          <w:tcPr>
            <w:tcW w:type="dxa" w:w="2160"/>
          </w:tcPr>
          <w:p>
            <w:r>
              <w:t>Ejecutado: Pass — subida 201 (5.050 ms), descarga 200 (37 ms) con SHA256 idéntico al archivo subido</w:t>
            </w:r>
          </w:p>
        </w:tc>
      </w:tr>
      <w:tr>
        <w:tc>
          <w:tcPr>
            <w:tcW w:type="dxa" w:w="2160"/>
          </w:tcPr>
          <w:p>
            <w:r>
              <w:t>Tiempo de respuesta y concurrencia</w:t>
            </w:r>
          </w:p>
        </w:tc>
        <w:tc>
          <w:tcPr>
            <w:tcW w:type="dxa" w:w="2160"/>
          </w:tcPr>
          <w:p>
            <w:r>
              <w:t>RQ-04</w:t>
            </w:r>
          </w:p>
        </w:tc>
        <w:tc>
          <w:tcPr>
            <w:tcW w:type="dxa" w:w="2160"/>
          </w:tcPr>
          <w:p>
            <w:r>
              <w:t>Medición de tiempos (delay)</w:t>
            </w:r>
          </w:p>
        </w:tc>
        <w:tc>
          <w:tcPr>
            <w:tcW w:type="dxa" w:w="2160"/>
          </w:tcPr>
          <w:p>
            <w:r>
              <w:t>Parcial: tiempos reales medidos en CP007/CP008 (incluyen el retardo de 5 s, H-05); falta medición formal de metas de rendimiento</w:t>
            </w:r>
          </w:p>
        </w:tc>
      </w:tr>
      <w:tr>
        <w:tc>
          <w:tcPr>
            <w:tcW w:type="dxa" w:w="2160"/>
          </w:tcPr>
          <w:p>
            <w:r>
              <w:t>Trazabilidad y auditoría de eventos</w:t>
            </w:r>
          </w:p>
        </w:tc>
        <w:tc>
          <w:tcPr>
            <w:tcW w:type="dxa" w:w="2160"/>
          </w:tcPr>
          <w:p>
            <w:r>
              <w:t>RQ-05</w:t>
            </w:r>
          </w:p>
        </w:tc>
        <w:tc>
          <w:tcPr>
            <w:tcW w:type="dxa" w:w="2160"/>
          </w:tcPr>
          <w:p>
            <w:r>
              <w:t>Revisión de código</w:t>
            </w:r>
          </w:p>
        </w:tc>
        <w:tc>
          <w:tcPr>
            <w:tcW w:type="dxa" w:w="2160"/>
          </w:tcPr>
          <w:p>
            <w:r>
              <w:t>Parcial: inserciones de auditoría verificadas en login y CRUD; falta captura de logs en ejecución</w:t>
            </w:r>
          </w:p>
        </w:tc>
      </w:tr>
      <w:tr>
        <w:tc>
          <w:tcPr>
            <w:tcW w:type="dxa" w:w="2160"/>
          </w:tcPr>
          <w:p>
            <w:r>
              <w:t>Validación de RUT con dígito verificador (brecha identificada en el Plan Maestro)</w:t>
            </w:r>
          </w:p>
        </w:tc>
        <w:tc>
          <w:tcPr>
            <w:tcW w:type="dxa" w:w="2160"/>
          </w:tcPr>
          <w:p>
            <w:r>
              <w:t>RQ-06</w:t>
            </w:r>
          </w:p>
        </w:tc>
        <w:tc>
          <w:tcPr>
            <w:tcW w:type="dxa" w:w="2160"/>
          </w:tcPr>
          <w:p>
            <w:r>
              <w:t>Revisión manual de código (CP001)</w:t>
            </w:r>
          </w:p>
        </w:tc>
        <w:tc>
          <w:tcPr>
            <w:tcW w:type="dxa" w:w="2160"/>
          </w:tcPr>
          <w:p>
            <w:r>
              <w:t>Constatado: solo se valida el formato, no el DV (hallazgo H-03); pendiente de corrección</w:t>
            </w:r>
          </w:p>
        </w:tc>
      </w:tr>
    </w:tbl>
    <w:p/>
    <w:p>
      <w:pPr>
        <w:pStyle w:val="Heading2"/>
      </w:pPr>
      <w:r>
        <w:t>Resumen de ejecución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Diseñados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Ejecutados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Aprobados (Pass)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Fallidos (Fail)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Bloqueados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Pendientes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</w:tbl>
    <w:p/>
    <w:p>
      <w:r>
        <w:rPr>
          <w:b w:val="0"/>
          <w:i w:val="0"/>
        </w:rPr>
        <w:t>CP001–CP004 aprobaron: el sistema validó correctamente el formato de email, los duplicados (RUT/email) y el largo mínimo de nombre, y rechazó con 400 sin guardar datos. CP005 aprobó verificando login con JWT y rol; CP007 aprobó al bloquear con 403 la edición de un examen por una paciente sin tocar la base de datos; CP008 aprobó con integridad SHA256 idéntica entre el archivo subido y el descargado. CP006 falló: tras cerrar sesión, el token siguió siendo aceptado (200), confirmando el hallazgo H-02 (no existe mecanismo de revocación de sesión).</w:t>
      </w:r>
    </w:p>
    <w:p>
      <w:pPr>
        <w:pStyle w:val="Heading2"/>
      </w:pPr>
      <w:r>
        <w:t>Detalle de casos ejecutados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Caso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Resultado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Evidencia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Tipo de prueba</w:t>
            </w:r>
          </w:p>
        </w:tc>
      </w:tr>
      <w:tr>
        <w:tc>
          <w:tcPr>
            <w:tcW w:type="dxa" w:w="1728"/>
          </w:tcPr>
          <w:p>
            <w:r>
              <w:t>CP001</w:t>
            </w:r>
          </w:p>
        </w:tc>
        <w:tc>
          <w:tcPr>
            <w:tcW w:type="dxa" w:w="1728"/>
          </w:tcPr>
          <w:p>
            <w:r>
              <w:t>Registro válido de paciente (201, aparece en listado, deja auditoría)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Grupo1_CP001_Front_201_Pass.png</w:t>
            </w:r>
          </w:p>
        </w:tc>
        <w:tc>
          <w:tcPr>
            <w:tcW w:type="dxa" w:w="1728"/>
          </w:tcPr>
          <w:p>
            <w:r>
              <w:t>Funcional (positivo)</w:t>
            </w:r>
          </w:p>
        </w:tc>
      </w:tr>
      <w:tr>
        <w:tc>
          <w:tcPr>
            <w:tcW w:type="dxa" w:w="1728"/>
          </w:tcPr>
          <w:p>
            <w:r>
              <w:t>CP002</w:t>
            </w:r>
          </w:p>
        </w:tc>
        <w:tc>
          <w:tcPr>
            <w:tcW w:type="dxa" w:w="1728"/>
          </w:tcPr>
          <w:p>
            <w:r>
              <w:t>Email sin @ (400 con detalle en email, no guarda)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Grupo1_CP002_Front_tooltip_Pass.png; Grupo1_CP002_Backend_400_Pass.png</w:t>
            </w:r>
          </w:p>
        </w:tc>
        <w:tc>
          <w:tcPr>
            <w:tcW w:type="dxa" w:w="1728"/>
          </w:tcPr>
          <w:p>
            <w:r>
              <w:t>Funcional (negativo)</w:t>
            </w:r>
          </w:p>
        </w:tc>
      </w:tr>
      <w:tr>
        <w:tc>
          <w:tcPr>
            <w:tcW w:type="dxa" w:w="1728"/>
          </w:tcPr>
          <w:p>
            <w:r>
              <w:t>CP003</w:t>
            </w:r>
          </w:p>
        </w:tc>
        <w:tc>
          <w:tcPr>
            <w:tcW w:type="dxa" w:w="1728"/>
          </w:tcPr>
          <w:p>
            <w:r>
              <w:t>Registro duplicado: mismo RUT y email del CP001 (400, sin fila nueva)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Grupo1_CP003_Duplicado_400_Pass.png</w:t>
            </w:r>
          </w:p>
        </w:tc>
        <w:tc>
          <w:tcPr>
            <w:tcW w:type="dxa" w:w="1728"/>
          </w:tcPr>
          <w:p>
            <w:r>
              <w:t>Funcional (negativo)</w:t>
            </w:r>
          </w:p>
        </w:tc>
      </w:tr>
      <w:tr>
        <w:tc>
          <w:tcPr>
            <w:tcW w:type="dxa" w:w="1728"/>
          </w:tcPr>
          <w:p>
            <w:r>
              <w:t>CP004</w:t>
            </w:r>
          </w:p>
        </w:tc>
        <w:tc>
          <w:tcPr>
            <w:tcW w:type="dxa" w:w="1728"/>
          </w:tcPr>
          <w:p>
            <w:r>
              <w:t>Borde: primer nombre de 1 letra, mínimo 2 (400 con detalle)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Grupo1_CP004_Front_borde_Pass.png; Grupo1_CP004_Backend_400_Pass.png</w:t>
            </w:r>
          </w:p>
        </w:tc>
        <w:tc>
          <w:tcPr>
            <w:tcW w:type="dxa" w:w="1728"/>
          </w:tcPr>
          <w:p>
            <w:r>
              <w:t>Borde</w:t>
            </w:r>
          </w:p>
        </w:tc>
      </w:tr>
      <w:tr>
        <w:tc>
          <w:tcPr>
            <w:tcW w:type="dxa" w:w="1728"/>
          </w:tcPr>
          <w:p>
            <w:r>
              <w:t>CP005</w:t>
            </w:r>
          </w:p>
        </w:tc>
        <w:tc>
          <w:tcPr>
            <w:tcW w:type="dxa" w:w="1728"/>
          </w:tcPr>
          <w:p>
            <w:r>
              <w:t>Login con credenciales válidas: token JWT con rol y uso del token en la API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Grupo1_CP005_Login_200.json; Grupo1_CP005_Uso_token_lista_pacientes_200.json</w:t>
            </w:r>
          </w:p>
        </w:tc>
        <w:tc>
          <w:tcPr>
            <w:tcW w:type="dxa" w:w="1728"/>
          </w:tcPr>
          <w:p>
            <w:r>
              <w:t>Seguridad (positivo)</w:t>
            </w:r>
          </w:p>
        </w:tc>
      </w:tr>
      <w:tr>
        <w:tc>
          <w:tcPr>
            <w:tcW w:type="dxa" w:w="1728"/>
          </w:tcPr>
          <w:p>
            <w:r>
              <w:t>CP006</w:t>
            </w:r>
          </w:p>
        </w:tc>
        <w:tc>
          <w:tcPr>
            <w:tcW w:type="dxa" w:w="1728"/>
          </w:tcPr>
          <w:p>
            <w:r>
              <w:t>Reutilización del token tras cerrar sesión (revocación)</w:t>
            </w:r>
          </w:p>
        </w:tc>
        <w:tc>
          <w:tcPr>
            <w:tcW w:type="dxa" w:w="1728"/>
          </w:tcPr>
          <w:p>
            <w:r>
              <w:t>Fail</w:t>
            </w:r>
          </w:p>
        </w:tc>
        <w:tc>
          <w:tcPr>
            <w:tcW w:type="dxa" w:w="1728"/>
          </w:tcPr>
          <w:p>
            <w:r>
              <w:t>Grupo1_CP006_Reuso_token_tras_logout_200.json; Grupo1_CP006_Busqueda_logout.txt</w:t>
            </w:r>
          </w:p>
        </w:tc>
        <w:tc>
          <w:tcPr>
            <w:tcW w:type="dxa" w:w="1728"/>
          </w:tcPr>
          <w:p>
            <w:r>
              <w:t>Seguridad (negativo)</w:t>
            </w:r>
          </w:p>
        </w:tc>
      </w:tr>
      <w:tr>
        <w:tc>
          <w:tcPr>
            <w:tcW w:type="dxa" w:w="1728"/>
          </w:tcPr>
          <w:p>
            <w:r>
              <w:t>CP007</w:t>
            </w:r>
          </w:p>
        </w:tc>
        <w:tc>
          <w:tcPr>
            <w:tcW w:type="dxa" w:w="1728"/>
          </w:tcPr>
          <w:p>
            <w:r>
              <w:t>Rol paciente intenta editar un examen (esperado 403)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Grupo1_CP007_PUT_403.json; Grupo1_CP007_Verificacion_BD_sin_cambios.txt</w:t>
            </w:r>
          </w:p>
        </w:tc>
        <w:tc>
          <w:tcPr>
            <w:tcW w:type="dxa" w:w="1728"/>
          </w:tcPr>
          <w:p>
            <w:r>
              <w:t>Seguridad / RBAC</w:t>
            </w:r>
          </w:p>
        </w:tc>
      </w:tr>
      <w:tr>
        <w:tc>
          <w:tcPr>
            <w:tcW w:type="dxa" w:w="1728"/>
          </w:tcPr>
          <w:p>
            <w:r>
              <w:t>CP008</w:t>
            </w:r>
          </w:p>
        </w:tc>
        <w:tc>
          <w:tcPr>
            <w:tcW w:type="dxa" w:w="1728"/>
          </w:tcPr>
          <w:p>
            <w:r>
              <w:t>Carga y descarga de documento de examen (integridad y tiempo)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Grupo1_CP008_Subida_documento_201.json; Grupo1_CP008_Descarga_documento_200.pdf; Grupo1_CP008_Integridad_y_tiempo.txt</w:t>
            </w:r>
          </w:p>
        </w:tc>
        <w:tc>
          <w:tcPr>
            <w:tcW w:type="dxa" w:w="1728"/>
          </w:tcPr>
          <w:p>
            <w:r>
              <w:t>Funcional / integridad</w:t>
            </w:r>
          </w:p>
        </w:tc>
      </w:tr>
    </w:tbl>
    <w:p/>
    <w:p>
      <w:r>
        <w:rPr>
          <w:b w:val="0"/>
          <w:i w:val="0"/>
        </w:rPr>
        <w:t>Evidencias archivadas en Mis_Entregables/U2.3_Ejecucion/Evidencias: capturas de pantalla CP001–CP004, respuestas de API en formato JSON/TXT/PDF para CP005–CP008 y registros del análisis SonarQube (log del escáner, JSON de métricas, quality gate, issues y resumen). Ver bitácora de ejecución 2.3 para el paso a paso de CP001–CP004 y el archivo Grupo1_CP005-008_Resumen_ejecucion.txt para CP005–CP008.</w:t>
      </w:r>
    </w:p>
    <w:p>
      <w:pPr>
        <w:pStyle w:val="Heading1"/>
      </w:pPr>
      <w:r>
        <w:t>5. Hallazgos e incidentes clasificados por criticidad</w:t>
      </w:r>
    </w:p>
    <w:p>
      <w:r>
        <w:rPr>
          <w:b w:val="0"/>
          <w:i w:val="0"/>
        </w:rPr>
        <w:t>La severidad se determinó por el impacto real en el negocio del caso: un problema que expone datos de salud o permite acceso indebido es crítico; una función importante afectada es grave; una función secundaria o degradación de experiencia es moderada o leve.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Severidad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Evidencia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Impacto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Acción recomendada</w:t>
            </w:r>
          </w:p>
        </w:tc>
      </w:tr>
      <w:tr>
        <w:tc>
          <w:tcPr>
            <w:tcW w:type="dxa" w:w="1440"/>
          </w:tcPr>
          <w:p>
            <w:r>
              <w:t>H-01</w:t>
            </w:r>
          </w:p>
        </w:tc>
        <w:tc>
          <w:tcPr>
            <w:tcW w:type="dxa" w:w="1440"/>
          </w:tcPr>
          <w:p>
            <w:r>
              <w:t>Seguridad / almacenamiento de credenciales</w:t>
            </w:r>
          </w:p>
        </w:tc>
        <w:tc>
          <w:tcPr>
            <w:tcW w:type="dxa" w:w="1440"/>
          </w:tcPr>
          <w:p>
            <w:r>
              <w:rPr>
                <w:b/>
                <w:color w:val="C00000"/>
              </w:rPr>
              <w:t>Crítico</w:t>
            </w:r>
          </w:p>
        </w:tc>
        <w:tc>
          <w:tcPr>
            <w:tcW w:type="dxa" w:w="1440"/>
          </w:tcPr>
          <w:p>
            <w:r>
              <w:t>Código: BACKEND/src/routes/auth.js:21 (comparación directa de contraseña) y :110 (inserción sin hash)</w:t>
            </w:r>
          </w:p>
        </w:tc>
        <w:tc>
          <w:tcPr>
            <w:tcW w:type="dxa" w:w="1440"/>
          </w:tcPr>
          <w:p>
            <w:r>
              <w:t>Fuga de credenciales de médicos, pacientes y administradores; acceso indebido a datos clínicos. Incumple el deber de seguridad de la Ley 19.628 y las prácticas OWASP (fallos criptográficos).</w:t>
            </w:r>
          </w:p>
        </w:tc>
        <w:tc>
          <w:tcPr>
            <w:tcW w:type="dxa" w:w="1440"/>
          </w:tcPr>
          <w:p>
            <w:r>
              <w:t>Hashear contraseñas con bcrypt/argon2 y sal; migrar las existentes; re-certificar el login.</w:t>
            </w:r>
          </w:p>
        </w:tc>
      </w:tr>
      <w:tr>
        <w:tc>
          <w:tcPr>
            <w:tcW w:type="dxa" w:w="1440"/>
          </w:tcPr>
          <w:p>
            <w:r>
              <w:t>H-02</w:t>
            </w:r>
          </w:p>
        </w:tc>
        <w:tc>
          <w:tcPr>
            <w:tcW w:type="dxa" w:w="1440"/>
          </w:tcPr>
          <w:p>
            <w:r>
              <w:t>Seguridad / gestión de sesión</w:t>
            </w:r>
          </w:p>
        </w:tc>
        <w:tc>
          <w:tcPr>
            <w:tcW w:type="dxa" w:w="1440"/>
          </w:tcPr>
          <w:p>
            <w:r>
              <w:rPr>
                <w:b/>
                <w:color w:val="C55A11"/>
              </w:rPr>
              <w:t>Grave</w:t>
            </w:r>
          </w:p>
        </w:tc>
        <w:tc>
          <w:tcPr>
            <w:tcW w:type="dxa" w:w="1440"/>
          </w:tcPr>
          <w:p>
            <w:r>
              <w:t>Código: auth.js:8 (secreto por defecto "inseguro"), auth.js:44-55 (token válido 2 h, sin endpoint de logout); docker-compose.yml:35 (secreto por defecto en compose). En el entorno evaluado el secreto sí está definido en .env (64 caracteres). Confirmado en ejecución CP006 (16-10-2026): el token reutilizado tras cerrar sesión respondió 200</w:t>
            </w:r>
          </w:p>
        </w:tc>
        <w:tc>
          <w:tcPr>
            <w:tcW w:type="dxa" w:w="1440"/>
          </w:tcPr>
          <w:p>
            <w:r>
              <w:t>Una sesión robada sigue siendo válida hasta 2 horas sin posibilidad de revocarla. Si el sistema se despliega sin definir el secreto, los tokens podrían ser forjados.</w:t>
            </w:r>
          </w:p>
        </w:tc>
        <w:tc>
          <w:tcPr>
            <w:tcW w:type="dxa" w:w="1440"/>
          </w:tcPr>
          <w:p>
            <w:r>
              <w:t>Implementar logout/revocación de sesiones; fallar al iniciar si el secreto no está definido; acortar expiración y evaluar refresh tokens.</w:t>
            </w:r>
          </w:p>
        </w:tc>
      </w:tr>
      <w:tr>
        <w:tc>
          <w:tcPr>
            <w:tcW w:type="dxa" w:w="1440"/>
          </w:tcPr>
          <w:p>
            <w:r>
              <w:t>H-03</w:t>
            </w:r>
          </w:p>
        </w:tc>
        <w:tc>
          <w:tcPr>
            <w:tcW w:type="dxa" w:w="1440"/>
          </w:tcPr>
          <w:p>
            <w:r>
              <w:t>Integridad de datos / validación</w:t>
            </w:r>
          </w:p>
        </w:tc>
        <w:tc>
          <w:tcPr>
            <w:tcW w:type="dxa" w:w="1440"/>
          </w:tcPr>
          <w:p>
            <w:r>
              <w:rPr>
                <w:b/>
                <w:color w:val="C55A11"/>
              </w:rPr>
              <w:t>Grave</w:t>
            </w:r>
          </w:p>
        </w:tc>
        <w:tc>
          <w:tcPr>
            <w:tcW w:type="dxa" w:w="1440"/>
          </w:tcPr>
          <w:p>
            <w:r>
              <w:t>Código: validations/pacientes.js:8 y utils/rut.js:5-8 (solo formato, sin DV). Prueba manual 06-10-2026: RUT 12.345.678-9 (DV real 5) fue aceptado con 201</w:t>
            </w:r>
          </w:p>
        </w:tc>
        <w:tc>
          <w:tcPr>
            <w:tcW w:type="dxa" w:w="1440"/>
          </w:tcPr>
          <w:p>
            <w:r>
              <w:t>Fichas clínicas asociadas a RUT inexistentes o mal identidad del paciente; riesgo de duplicados y de incumplimiento en la identificación de pacientes (Ley 20.584).</w:t>
            </w:r>
          </w:p>
        </w:tc>
        <w:tc>
          <w:tcPr>
            <w:tcW w:type="dxa" w:w="1440"/>
          </w:tcPr>
          <w:p>
            <w:r>
              <w:t>Validar dígito verificador (módulo 11); rechazar RUT inválidos; revisar registros existentes.</w:t>
            </w:r>
          </w:p>
        </w:tc>
      </w:tr>
      <w:tr>
        <w:tc>
          <w:tcPr>
            <w:tcW w:type="dxa" w:w="1440"/>
          </w:tcPr>
          <w:p>
            <w:r>
              <w:t>H-04</w:t>
            </w:r>
          </w:p>
        </w:tc>
        <w:tc>
          <w:tcPr>
            <w:tcW w:type="dxa" w:w="1440"/>
          </w:tcPr>
          <w:p>
            <w:r>
              <w:t>Seguridad / configuración de archivos</w:t>
            </w:r>
          </w:p>
        </w:tc>
        <w:tc>
          <w:tcPr>
            <w:tcW w:type="dxa" w:w="1440"/>
          </w:tcPr>
          <w:p>
            <w:r>
              <w:rPr>
                <w:b/>
                <w:color w:val="C55A11"/>
              </w:rPr>
              <w:t>Grave (latente)</w:t>
            </w:r>
          </w:p>
        </w:tc>
        <w:tc>
          <w:tcPr>
            <w:tcW w:type="dxa" w:w="1440"/>
          </w:tcPr>
          <w:p>
            <w:r>
              <w:t>Código: app.js:43 (express.static sin autenticación) y app.js:25-26 (creación del directorio). Verificación 16-10-2026: BACKEND/uploads sin archivos (los documentos se guardan en la base de datos)</w:t>
            </w:r>
          </w:p>
        </w:tc>
        <w:tc>
          <w:tcPr>
            <w:tcW w:type="dxa" w:w="1440"/>
          </w:tcPr>
          <w:p>
            <w:r>
              <w:t>Riesgo latente: cualquier persona con la URL podría descargar documentos clínicos sin token si en el futuro se almacenan en disco, saltándose el RBAC. Hoy no hay archivos expuestos.</w:t>
            </w:r>
          </w:p>
        </w:tc>
        <w:tc>
          <w:tcPr>
            <w:tcW w:type="dxa" w:w="1440"/>
          </w:tcPr>
          <w:p>
            <w:r>
              <w:t>Eliminar el montaje estático o protegerlo con autenticación; usar únicamente el endpoint /documentos/:id con control de acceso.</w:t>
            </w:r>
          </w:p>
        </w:tc>
      </w:tr>
      <w:tr>
        <w:tc>
          <w:tcPr>
            <w:tcW w:type="dxa" w:w="1440"/>
          </w:tcPr>
          <w:p>
            <w:r>
              <w:t>H-05</w:t>
            </w:r>
          </w:p>
        </w:tc>
        <w:tc>
          <w:tcPr>
            <w:tcW w:type="dxa" w:w="1440"/>
          </w:tcPr>
          <w:p>
            <w:r>
              <w:t>Rendimiento / usabilidad</w:t>
            </w:r>
          </w:p>
        </w:tc>
        <w:tc>
          <w:tcPr>
            <w:tcW w:type="dxa" w:w="1440"/>
          </w:tcPr>
          <w:p>
            <w:r>
              <w:rPr>
                <w:b/>
                <w:color w:val="BF8F00"/>
              </w:rPr>
              <w:t>Moderado</w:t>
            </w:r>
          </w:p>
        </w:tc>
        <w:tc>
          <w:tcPr>
            <w:tcW w:type="dxa" w:w="1440"/>
          </w:tcPr>
          <w:p>
            <w:r>
              <w:t>Código: middleware/delay.js:5 aplicado en pacientes.js:145, examenes.js:46/99/330 y documentos.js:66 (retardo de 5 s). Confirmado en CP007 (5.036 ms) y CP008 (5.050 ms)</w:t>
            </w:r>
          </w:p>
        </w:tc>
        <w:tc>
          <w:tcPr>
            <w:tcW w:type="dxa" w:w="1440"/>
          </w:tcPr>
          <w:p>
            <w:r>
              <w:t>Los listados y operaciones de exámenes/documentos demoran ~5 s; degrada la experiencia de médicos y pacientes y no permite cumplir la meta de &lt;300 ms en el 95% de los CRUD.</w:t>
            </w:r>
          </w:p>
        </w:tc>
        <w:tc>
          <w:tcPr>
            <w:tcW w:type="dxa" w:w="1440"/>
          </w:tcPr>
          <w:p>
            <w:r>
              <w:t>Retirar el delay en entornos reales; medir tiempos y definir metas de desempeño para la Unidad 2.4.</w:t>
            </w:r>
          </w:p>
        </w:tc>
      </w:tr>
      <w:tr>
        <w:tc>
          <w:tcPr>
            <w:tcW w:type="dxa" w:w="1440"/>
          </w:tcPr>
          <w:p>
            <w:r>
              <w:t>H-06</w:t>
            </w:r>
          </w:p>
        </w:tc>
        <w:tc>
          <w:tcPr>
            <w:tcW w:type="dxa" w:w="1440"/>
          </w:tcPr>
          <w:p>
            <w:r>
              <w:t>Seguridad / configuración</w:t>
            </w:r>
          </w:p>
        </w:tc>
        <w:tc>
          <w:tcPr>
            <w:tcW w:type="dxa" w:w="1440"/>
          </w:tcPr>
          <w:p>
            <w:r>
              <w:rPr>
                <w:b/>
                <w:color w:val="BF8F00"/>
              </w:rPr>
              <w:t>Moderado</w:t>
            </w:r>
          </w:p>
        </w:tc>
        <w:tc>
          <w:tcPr>
            <w:tcW w:type="dxa" w:w="1440"/>
          </w:tcPr>
          <w:p>
            <w:r>
              <w:t>Código: app.js:21 (CORS sin restricción de origen)</w:t>
            </w:r>
          </w:p>
        </w:tc>
        <w:tc>
          <w:tcPr>
            <w:tcW w:type="dxa" w:w="1440"/>
          </w:tcPr>
          <w:p>
            <w:r>
              <w:t>Permite peticiones desde cualquier origen; combinado con un XSS facilitaría el robo del token almacenado en el navegador.</w:t>
            </w:r>
          </w:p>
        </w:tc>
        <w:tc>
          <w:tcPr>
            <w:tcW w:type="dxa" w:w="1440"/>
          </w:tcPr>
          <w:p>
            <w:r>
              <w:t>Restringir CORS al origen del frontend (FRONTEND_URL).</w:t>
            </w:r>
          </w:p>
        </w:tc>
      </w:tr>
      <w:tr>
        <w:tc>
          <w:tcPr>
            <w:tcW w:type="dxa" w:w="1440"/>
          </w:tcPr>
          <w:p>
            <w:r>
              <w:t>H-07</w:t>
            </w:r>
          </w:p>
        </w:tc>
        <w:tc>
          <w:tcPr>
            <w:tcW w:type="dxa" w:w="1440"/>
          </w:tcPr>
          <w:p>
            <w:r>
              <w:t>Manejo de errores / divulgación</w:t>
            </w:r>
          </w:p>
        </w:tc>
        <w:tc>
          <w:tcPr>
            <w:tcW w:type="dxa" w:w="1440"/>
          </w:tcPr>
          <w:p>
            <w:r>
              <w:rPr>
                <w:b/>
                <w:color w:val="547C00"/>
              </w:rPr>
              <w:t>Leve</w:t>
            </w:r>
          </w:p>
        </w:tc>
        <w:tc>
          <w:tcPr>
            <w:tcW w:type="dxa" w:w="1440"/>
          </w:tcPr>
          <w:p>
            <w:r>
              <w:t>Código: patrón glosa: err.message en auth.js:67, documentos.js:115 y otras rutas</w:t>
            </w:r>
          </w:p>
        </w:tc>
        <w:tc>
          <w:tcPr>
            <w:tcW w:type="dxa" w:w="1440"/>
          </w:tcPr>
          <w:p>
            <w:r>
              <w:t>Los errores internos del servidor se muestran al cliente y entregan información útil para un atacante.</w:t>
            </w:r>
          </w:p>
        </w:tc>
        <w:tc>
          <w:tcPr>
            <w:tcW w:type="dxa" w:w="1440"/>
          </w:tcPr>
          <w:p>
            <w:r>
              <w:t>Mensajes genéricos al usuario; conservar el detalle técnico solo en los logs.</w:t>
            </w:r>
          </w:p>
        </w:tc>
      </w:tr>
    </w:tbl>
    <w:p/>
    <w:p>
      <w:pPr>
        <w:pStyle w:val="Heading2"/>
      </w:pPr>
      <w:r>
        <w:t>Fortalezas observadas (evidencia positiva)</w:t>
      </w:r>
    </w:p>
    <w:p>
      <w:pPr>
        <w:pStyle w:val="ListBullet"/>
      </w:pPr>
      <w:r>
        <w:t>Control de acceso basado en roles implementado con 401 (sin token) y 403 (rol/posesión incorrecta) en pacientes, exámenes, documentos y usuarios; verificado en código y confirmado en vivo con CP007 (403 Forbidden sin cambios en la base de datos).</w:t>
      </w:r>
    </w:p>
    <w:p>
      <w:pPr>
        <w:pStyle w:val="ListBullet"/>
      </w:pPr>
      <w:r>
        <w:t>Auditoría insertada en login, registro y operaciones CRUD (auth.js:58/145; pacientes.js:121/369/407; examenes.js:81/378/416; documentos.js:103/283).</w:t>
      </w:r>
    </w:p>
    <w:p>
      <w:pPr>
        <w:pStyle w:val="ListBullet"/>
      </w:pPr>
      <w:r>
        <w:t>Validaciones de formulario completas con mensajes por campo (validations/pacientes.js; evidencia CP002 y CP004).</w:t>
      </w:r>
    </w:p>
    <w:p>
      <w:pPr>
        <w:pStyle w:val="ListBullet"/>
      </w:pPr>
      <w:r>
        <w:t>Carga de archivos controlada: límite de 10 MB y tipos PDF/JPG/PNG (documentos.js:10-28).</w:t>
      </w:r>
    </w:p>
    <w:p>
      <w:pPr>
        <w:pStyle w:val="ListBullet"/>
      </w:pPr>
      <w:r>
        <w:t>Consultas SQL parametrizadas en las rutas revisadas, lo que reduce el riesgo de inyección SQL.</w:t>
      </w:r>
    </w:p>
    <w:p>
      <w:pPr>
        <w:pStyle w:val="Heading1"/>
      </w:pPr>
      <w:r>
        <w:t>6. Análisis ético, legal y normativo</w:t>
      </w:r>
    </w:p>
    <w:p>
      <w:pPr>
        <w:pStyle w:val="Heading2"/>
      </w:pPr>
      <w:r>
        <w:t>Legal y normativo (contexto chileno)</w:t>
      </w:r>
    </w:p>
    <w:p>
      <w:pPr>
        <w:pStyle w:val="ListBullet"/>
      </w:pPr>
      <w:r>
        <w:t>Ley 19.628 sobre protección de la vida privada: los datos de salud son sensibles; el sistema debe resguardar la confidencialidad y seguridad. Los hallazgos H-01, H-02 y H-04 afectan directamente este deber.</w:t>
      </w:r>
    </w:p>
    <w:p>
      <w:pPr>
        <w:pStyle w:val="ListBullet"/>
      </w:pPr>
      <w:r>
        <w:t>Ley 20.584 sobre derechos y deberes del paciente: la ficha clínica es reservada y su acceso debe estar controlado y trazado. La auditoría existente es una fortaleza, pero la falta de revocación de sesión (H-02) debilita el control de acceso.</w:t>
      </w:r>
    </w:p>
    <w:p>
      <w:pPr>
        <w:pStyle w:val="ListBullet"/>
      </w:pPr>
      <w:r>
        <w:t>ISO/IEC 25010: adecuación funcional conforme (CP001–CP004, CP007 y CP008); eficiencia de desempeño limitada por H-05 (5 s de retardo confirmados en CP007/CP008); seguridad y confiabilidad comprometidas por H-01 a H-04 (CP006 confirmó H-02 en vivo); mantenibilidad con oportunidades de mejora (SonarQube: 8 issues críticos de complejidad cognitiva S3776, deuda técnica 465 min, duplicación 14,5%).</w:t>
      </w:r>
    </w:p>
    <w:p>
      <w:pPr>
        <w:pStyle w:val="ListBullet"/>
      </w:pPr>
      <w:r>
        <w:t>OWASP Top 10 (2021): A01 control de acceso roto (H-04), A02 fallos criptográficos (H-01, H-02), A05 configuración de seguridad incorrecta (H-06), A07 fallos de identificación y autenticación (H-02).</w:t>
      </w:r>
    </w:p>
    <w:p>
      <w:pPr>
        <w:pStyle w:val="Heading2"/>
      </w:pPr>
      <w:r>
        <w:t>Ético</w:t>
      </w:r>
    </w:p>
    <w:p>
      <w:pPr>
        <w:pStyle w:val="ListBullet"/>
      </w:pPr>
      <w:r>
        <w:t>Se registran todos los hallazgos encontrados, sin ocultar ni minimizar riesgos sobre datos de salud.</w:t>
      </w:r>
    </w:p>
    <w:p>
      <w:pPr>
        <w:pStyle w:val="ListBullet"/>
      </w:pPr>
      <w:r>
        <w:t>No se inventaron resultados: lo no ejecutado se declara como pendiente y queda identificado para la siguiente iteración.</w:t>
      </w:r>
    </w:p>
    <w:p>
      <w:pPr>
        <w:pStyle w:val="ListBullet"/>
      </w:pPr>
      <w:r>
        <w:t>Los datos utilizados en las pruebas fueron ficticios y no se manipuló ni corrigió el código fuera de las reglas de la actividad.</w:t>
      </w:r>
    </w:p>
    <w:p>
      <w:pPr>
        <w:pStyle w:val="ListBullet"/>
      </w:pPr>
      <w:r>
        <w:t>Recomendación responsable: no liberar a producción un sistema de salud con riesgos conocidos de confidencialidad sin corregirlos.</w:t>
      </w:r>
    </w:p>
    <w:p>
      <w:pPr>
        <w:pStyle w:val="Heading1"/>
      </w:pPr>
      <w:r>
        <w:t>7. Conclusiones, recomendaciones y acciones pendientes</w:t>
      </w:r>
    </w:p>
    <w:p>
      <w:r>
        <w:rPr>
          <w:b w:val="0"/>
          <w:i w:val="0"/>
        </w:rPr>
        <w:t>El sistema Cuidarte+ cumple funcionalmente en los flujos probados (registro de pacientes, control de acceso por roles y gestión de documentos) y presenta fortalezas de control de acceso y auditoría. SonarQube no detectó vulnerabilidades ni bugs relevantes de seguridad, lo que coincide con la revisión manual: los riesgos están en lógica de negocio y configuración, no en patrones que el análisis estático detecte automáticamente; en cambio registra 8 issues críticos de complejidad cognitiva y 14,5% de duplicación (deuda técnica 465 min). Un sistema que administra datos de salud no puede liberarse con credenciales en texto plano, sesiones no revocables (confirmado por CP006) y validación incompleta de identidad. El veredicto es GO CONDICIONADO: corregir las condiciones obligatorias (H-01 a H-04) y re-certificar.</w:t>
      </w:r>
    </w:p>
    <w:p>
      <w:pPr>
        <w:pStyle w:val="Heading2"/>
      </w:pPr>
      <w:r>
        <w:t>Acciones pendientes de evidencia</w:t>
      </w:r>
    </w:p>
    <w:p>
      <w:pPr>
        <w:pStyle w:val="ListBullet"/>
      </w:pPr>
      <w:r>
        <w:t>Corregir las condiciones obligatorias (H-01 a H-04) y re-ejecutar CP005/CP006 y el análisis SonarQube para evidenciar la mejora (revocación efectiva del token, reducción de issues críticos y deuda técnica).</w:t>
      </w:r>
    </w:p>
    <w:p>
      <w:pPr>
        <w:pStyle w:val="ListBullet"/>
      </w:pPr>
      <w:r>
        <w:t>Revisar los 8 issues críticos de complejidad cognitiva y los 3 security hotspots señalados por SonarQube para priorizar la refactorización.</w:t>
      </w:r>
    </w:p>
    <w:p>
      <w:pPr>
        <w:pStyle w:val="ListBullet"/>
      </w:pPr>
      <w:r>
        <w:t>Retirar el retardo de 5 s (H-05) y medir formalmente los tiempos de los CRUD para las metas de rendimiento (Unidad 2.4).</w:t>
      </w:r>
    </w:p>
    <w:p>
      <w:pPr>
        <w:pStyle w:val="ListBullet"/>
      </w:pPr>
      <w:r>
        <w:t>Planificar DAST con OWASP ZAP y pruebas de carga con JMeter en la siguiente iteración.</w:t>
      </w:r>
    </w:p>
    <w:p>
      <w:pPr>
        <w:pStyle w:val="ListBullet"/>
      </w:pPr>
      <w:r>
        <w:t>Re-certificar el sistema después de aplicar las correcciones obligatorias y actualizar el veredicto (GO/NO-GO final).</w:t>
      </w:r>
    </w:p>
    <w:p>
      <w:pPr>
        <w:pStyle w:val="Heading2"/>
      </w:pPr>
      <w:r>
        <w:t>Lista de verificación del informe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Criterio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Estado</w:t>
            </w:r>
          </w:p>
        </w:tc>
      </w:tr>
      <w:tr>
        <w:tc>
          <w:tcPr>
            <w:tcW w:type="dxa" w:w="4320"/>
          </w:tcPr>
          <w:p>
            <w:r>
              <w:t>El informe contiene evidencia legible vinculada a los casos de prueba (capturas CP001–CP004 y referencias de código por hallazgo).</w:t>
            </w:r>
          </w:p>
        </w:tc>
        <w:tc>
          <w:tcPr>
            <w:tcW w:type="dxa" w:w="4320"/>
          </w:tcPr>
          <w:p>
            <w:r>
              <w:t>OK</w:t>
            </w:r>
          </w:p>
        </w:tc>
      </w:tr>
      <w:tr>
        <w:tc>
          <w:tcPr>
            <w:tcW w:type="dxa" w:w="4320"/>
          </w:tcPr>
          <w:p>
            <w:r>
              <w:t>Los hallazgos tienen severidad e impacto definidos.</w:t>
            </w:r>
          </w:p>
        </w:tc>
        <w:tc>
          <w:tcPr>
            <w:tcW w:type="dxa" w:w="4320"/>
          </w:tcPr>
          <w:p>
            <w:r>
              <w:t>OK</w:t>
            </w:r>
          </w:p>
        </w:tc>
      </w:tr>
      <w:tr>
        <w:tc>
          <w:tcPr>
            <w:tcW w:type="dxa" w:w="4320"/>
          </w:tcPr>
          <w:p>
            <w:r>
              <w:t>La recomendación final coincide con la evidencia presentada.</w:t>
            </w:r>
          </w:p>
        </w:tc>
        <w:tc>
          <w:tcPr>
            <w:tcW w:type="dxa" w:w="4320"/>
          </w:tcPr>
          <w:p>
            <w:r>
              <w:t>OK</w:t>
            </w:r>
          </w:p>
        </w:tc>
      </w:tr>
      <w:tr>
        <w:tc>
          <w:tcPr>
            <w:tcW w:type="dxa" w:w="4320"/>
          </w:tcPr>
          <w:p>
            <w:r>
              <w:t>El equipo distingue resultados funcionales, no funcionales y de análisis estático.</w:t>
            </w:r>
          </w:p>
        </w:tc>
        <w:tc>
          <w:tcPr>
            <w:tcW w:type="dxa" w:w="4320"/>
          </w:tcPr>
          <w:p>
            <w:r>
              <w:t>OK — SonarQube 9.9.8 ejecutado (QG OK, 1 bug, 8 críticos, 3 hotspots)</w:t>
            </w:r>
          </w:p>
        </w:tc>
      </w:tr>
      <w:tr>
        <w:tc>
          <w:tcPr>
            <w:tcW w:type="dxa" w:w="4320"/>
          </w:tcPr>
          <w:p>
            <w:r>
              <w:t>Cada integrante puede defender el trabajo completo.</w:t>
            </w:r>
          </w:p>
        </w:tc>
        <w:tc>
          <w:tcPr>
            <w:tcW w:type="dxa" w:w="4320"/>
          </w:tcPr>
          <w:p>
            <w:r>
              <w:t>En preparación (EP4)</w:t>
            </w:r>
          </w:p>
        </w:tc>
      </w:tr>
    </w:tbl>
    <w:p/>
    <w:p/>
    <w:p>
      <w:r>
        <w:rPr>
          <w:b w:val="0"/>
          <w:i/>
        </w:rPr>
        <w:t>Borrador 2 elaborado para la actividad de Unidad 2.4, con los resultados reales de CP001–CP008 y del análisis SonarQube incorporados (16-10-2026). Se actualizará en la re-certificación tras corregir las condiciones obligatorias. Referencias: Plan Maestro de Pruebas U2.1 (FUSIONADO), Guía 2.2 y Bitácora 2.3 en Mis_Entregables/.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