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28"/>
          <w:szCs w:val="28"/>
        </w:rPr>
        <w:t xml:space="preserve">Sistema de exámenes médicos Cuidarte+</w:t>
      </w:r>
    </w:p>
    <w:p>
      <w:pPr>
        <w:spacing w:after="2400"/>
        <w:jc w:val="center"/>
      </w:pPr>
      <w:r>
        <w:rPr>
          <w:rFonts w:ascii="Arial" w:cs="Arial" w:eastAsia="Arial" w:hAnsi="Arial"/>
          <w:b/>
          <w:bCs/>
          <w:sz w:val="40"/>
          <w:szCs w:val="40"/>
        </w:rPr>
        <w:t xml:space="preserve">Informe de seguridad y calidad en el desarrollo de software</w:t>
      </w:r>
    </w:p>
    <w:p>
      <w:pPr>
        <w:spacing w:after="120"/>
        <w:jc w:val="center"/>
      </w:pPr>
      <w:r>
        <w:rPr>
          <w:rFonts w:ascii="Arial" w:cs="Arial" w:eastAsia="Arial" w:hAnsi="Arial"/>
          <w:sz w:val="24"/>
          <w:szCs w:val="24"/>
        </w:rPr>
        <w:t xml:space="preserve">ISY1102 - Seguridad y calidad en el desarrollo de software</w:t>
      </w:r>
    </w:p>
    <w:p>
      <w:pPr>
        <w:spacing w:after="1200"/>
        <w:jc w:val="center"/>
      </w:pPr>
      <w:r>
        <w:rPr>
          <w:rFonts w:ascii="Arial" w:cs="Arial" w:eastAsia="Arial" w:hAnsi="Arial"/>
          <w:sz w:val="24"/>
          <w:szCs w:val="24"/>
        </w:rPr>
        <w:t xml:space="preserve">Sección 003D</w:t>
      </w:r>
    </w:p>
    <w:p>
      <w:pPr>
        <w:spacing w:after="120"/>
        <w:jc w:val="center"/>
      </w:pPr>
      <w:r>
        <w:rPr>
          <w:rFonts w:ascii="Arial" w:cs="Arial" w:eastAsia="Arial" w:hAnsi="Arial"/>
          <w:b/>
          <w:bCs/>
          <w:sz w:val="24"/>
          <w:szCs w:val="24"/>
        </w:rPr>
        <w:t xml:space="preserve">Integrantes</w:t>
      </w:r>
    </w:p>
    <w:p>
      <w:pPr>
        <w:spacing w:after="60"/>
        <w:jc w:val="center"/>
      </w:pPr>
      <w:r>
        <w:rPr>
          <w:rFonts w:ascii="Arial" w:cs="Arial" w:eastAsia="Arial" w:hAnsi="Arial"/>
          <w:sz w:val="24"/>
          <w:szCs w:val="24"/>
        </w:rPr>
        <w:t xml:space="preserve">Benjamín Ibáñez</w:t>
      </w:r>
    </w:p>
    <w:p>
      <w:pPr>
        <w:spacing w:after="1200"/>
        <w:jc w:val="center"/>
      </w:pPr>
      <w:r>
        <w:rPr>
          <w:rFonts w:ascii="Arial" w:cs="Arial" w:eastAsia="Arial" w:hAnsi="Arial"/>
          <w:sz w:val="24"/>
          <w:szCs w:val="24"/>
        </w:rPr>
        <w:t xml:space="preserve">Gerardo Vera Gonzalez</w:t>
      </w:r>
    </w:p>
    <w:p>
      <w:pPr>
        <w:spacing w:after="120"/>
        <w:jc w:val="center"/>
      </w:pPr>
      <w:r>
        <w:rPr>
          <w:rFonts w:ascii="Arial" w:cs="Arial" w:eastAsia="Arial" w:hAnsi="Arial"/>
          <w:sz w:val="22"/>
          <w:szCs w:val="22"/>
        </w:rPr>
        <w:t xml:space="preserve">Evaluación 2 — Encargo Iteración 2 (EP3) + Presentación (EP4)</w:t>
      </w:r>
    </w:p>
    <w:p>
      <w:pPr>
        <w:jc w:val="center"/>
      </w:pPr>
      <w:r>
        <w:rPr>
          <w:rFonts w:ascii="Arial" w:cs="Arial" w:eastAsia="Arial" w:hAnsi="Arial"/>
          <w:sz w:val="22"/>
          <w:szCs w:val="22"/>
        </w:rPr>
        <w:t xml:space="preserve">Fecha: 20-10-2026 — Versión 1.0</w:t>
      </w:r>
    </w:p>
    <w:p>
      <w:r>
        <w:br w:type="page"/>
      </w:r>
    </w:p>
    <w:p>
      <w:pPr>
        <w:pStyle w:val="Heading1"/>
        <w:spacing w:after="120" w:before="240" w:line="360"/>
      </w:pPr>
      <w:r>
        <w:rPr>
          <w:rFonts w:ascii="Arial" w:cs="Arial" w:eastAsia="Arial" w:hAnsi="Arial"/>
          <w:b/>
          <w:bCs/>
          <w:color w:val="000000"/>
          <w:sz w:val="24"/>
          <w:szCs w:val="24"/>
        </w:rPr>
        <w:t xml:space="preserve">ÍNDICE</w:t>
      </w:r>
    </w:p>
    <w:p>
      <w:pPr>
        <w:spacing w:after="40" w:line="360"/>
      </w:pPr>
      <w:r>
        <w:rPr>
          <w:rFonts w:ascii="Arial" w:cs="Arial" w:eastAsia="Arial" w:hAnsi="Arial"/>
          <w:sz w:val="22"/>
          <w:szCs w:val="22"/>
        </w:rPr>
        <w:t xml:space="preserve">1. Introducción</w:t>
      </w:r>
    </w:p>
    <w:p>
      <w:pPr>
        <w:spacing w:after="40" w:line="360"/>
      </w:pPr>
      <w:r>
        <w:rPr>
          <w:rFonts w:ascii="Arial" w:cs="Arial" w:eastAsia="Arial" w:hAnsi="Arial"/>
          <w:sz w:val="22"/>
          <w:szCs w:val="22"/>
        </w:rPr>
        <w:t xml:space="preserve">2. Criterios de calidad</w:t>
      </w:r>
    </w:p>
    <w:p>
      <w:pPr>
        <w:spacing w:after="40" w:line="360"/>
      </w:pPr>
      <w:r>
        <w:rPr>
          <w:rFonts w:ascii="Arial" w:cs="Arial" w:eastAsia="Arial" w:hAnsi="Arial"/>
          <w:sz w:val="22"/>
          <w:szCs w:val="22"/>
        </w:rPr>
        <w:t xml:space="preserve">3. Plan de pruebas</w:t>
      </w:r>
    </w:p>
    <w:p>
      <w:pPr>
        <w:spacing w:after="40" w:line="360"/>
      </w:pPr>
      <w:r>
        <w:rPr>
          <w:rFonts w:ascii="Arial" w:cs="Arial" w:eastAsia="Arial" w:hAnsi="Arial"/>
          <w:sz w:val="22"/>
          <w:szCs w:val="22"/>
        </w:rPr>
        <w:t xml:space="preserve">3.1 Estrategia de pruebas</w:t>
      </w:r>
    </w:p>
    <w:p>
      <w:pPr>
        <w:spacing w:after="40" w:line="360"/>
      </w:pPr>
      <w:r>
        <w:rPr>
          <w:rFonts w:ascii="Arial" w:cs="Arial" w:eastAsia="Arial" w:hAnsi="Arial"/>
          <w:sz w:val="22"/>
          <w:szCs w:val="22"/>
        </w:rPr>
        <w:t xml:space="preserve">3.2 Tipos de prueba</w:t>
      </w:r>
    </w:p>
    <w:p>
      <w:pPr>
        <w:spacing w:after="40" w:line="360"/>
      </w:pPr>
      <w:r>
        <w:rPr>
          <w:rFonts w:ascii="Arial" w:cs="Arial" w:eastAsia="Arial" w:hAnsi="Arial"/>
          <w:sz w:val="22"/>
          <w:szCs w:val="22"/>
        </w:rPr>
        <w:t xml:space="preserve">3.3 Criterios de aceptación</w:t>
      </w:r>
    </w:p>
    <w:p>
      <w:pPr>
        <w:spacing w:after="40" w:line="360"/>
      </w:pPr>
      <w:r>
        <w:rPr>
          <w:rFonts w:ascii="Arial" w:cs="Arial" w:eastAsia="Arial" w:hAnsi="Arial"/>
          <w:sz w:val="22"/>
          <w:szCs w:val="22"/>
        </w:rPr>
        <w:t xml:space="preserve">3.4 Herramientas y recursos utilizados</w:t>
      </w:r>
    </w:p>
    <w:p>
      <w:pPr>
        <w:spacing w:after="40" w:line="360"/>
      </w:pPr>
      <w:r>
        <w:rPr>
          <w:rFonts w:ascii="Arial" w:cs="Arial" w:eastAsia="Arial" w:hAnsi="Arial"/>
          <w:sz w:val="22"/>
          <w:szCs w:val="22"/>
        </w:rPr>
        <w:t xml:space="preserve">4. Diseño de casos de prueba</w:t>
      </w:r>
    </w:p>
    <w:p>
      <w:pPr>
        <w:spacing w:after="40" w:line="360"/>
      </w:pPr>
      <w:r>
        <w:rPr>
          <w:rFonts w:ascii="Arial" w:cs="Arial" w:eastAsia="Arial" w:hAnsi="Arial"/>
          <w:sz w:val="22"/>
          <w:szCs w:val="22"/>
        </w:rPr>
        <w:t xml:space="preserve">5. Ejecución de pruebas</w:t>
      </w:r>
    </w:p>
    <w:p>
      <w:pPr>
        <w:spacing w:after="40" w:line="360"/>
      </w:pPr>
      <w:r>
        <w:rPr>
          <w:rFonts w:ascii="Arial" w:cs="Arial" w:eastAsia="Arial" w:hAnsi="Arial"/>
          <w:sz w:val="22"/>
          <w:szCs w:val="22"/>
        </w:rPr>
        <w:t xml:space="preserve">5.1 Resumen de ejecución</w:t>
      </w:r>
    </w:p>
    <w:p>
      <w:pPr>
        <w:spacing w:after="40" w:line="360"/>
      </w:pPr>
      <w:r>
        <w:rPr>
          <w:rFonts w:ascii="Arial" w:cs="Arial" w:eastAsia="Arial" w:hAnsi="Arial"/>
          <w:sz w:val="22"/>
          <w:szCs w:val="22"/>
        </w:rPr>
        <w:t xml:space="preserve">5.2 Detalle de ejecución de casos</w:t>
      </w:r>
    </w:p>
    <w:p>
      <w:pPr>
        <w:spacing w:after="40" w:line="360"/>
      </w:pPr>
      <w:r>
        <w:rPr>
          <w:rFonts w:ascii="Arial" w:cs="Arial" w:eastAsia="Arial" w:hAnsi="Arial"/>
          <w:sz w:val="22"/>
          <w:szCs w:val="22"/>
        </w:rPr>
        <w:t xml:space="preserve">5.3 Criticidad de incidentes</w:t>
      </w:r>
    </w:p>
    <w:p>
      <w:pPr>
        <w:spacing w:after="40" w:line="360"/>
      </w:pPr>
      <w:r>
        <w:rPr>
          <w:rFonts w:ascii="Arial" w:cs="Arial" w:eastAsia="Arial" w:hAnsi="Arial"/>
          <w:sz w:val="22"/>
          <w:szCs w:val="22"/>
        </w:rPr>
        <w:t xml:space="preserve">6. Análisis ético y normativo de los resultados</w:t>
      </w:r>
    </w:p>
    <w:p>
      <w:pPr>
        <w:spacing w:after="40" w:line="360"/>
      </w:pPr>
      <w:r>
        <w:rPr>
          <w:rFonts w:ascii="Arial" w:cs="Arial" w:eastAsia="Arial" w:hAnsi="Arial"/>
          <w:sz w:val="22"/>
          <w:szCs w:val="22"/>
        </w:rPr>
        <w:t xml:space="preserve">7. Conclusiones, recomendaciones y acciones pendientes</w:t>
      </w:r>
    </w:p>
    <w:p>
      <w:r>
        <w:br w:type="page"/>
      </w:r>
    </w:p>
    <w:p>
      <w:pPr>
        <w:pStyle w:val="Heading1"/>
        <w:spacing w:after="120" w:before="240" w:line="360"/>
      </w:pPr>
      <w:r>
        <w:rPr>
          <w:rFonts w:ascii="Arial" w:cs="Arial" w:eastAsia="Arial" w:hAnsi="Arial"/>
          <w:b/>
          <w:bCs/>
          <w:color w:val="000000"/>
          <w:sz w:val="24"/>
          <w:szCs w:val="24"/>
        </w:rPr>
        <w:t xml:space="preserve">1. Introducción</w:t>
      </w:r>
    </w:p>
    <w:p>
      <w:pPr>
        <w:spacing w:after="120" w:line="360"/>
        <w:jc w:val="both"/>
      </w:pPr>
      <w:r>
        <w:rPr>
          <w:rFonts w:ascii="Arial" w:cs="Arial" w:eastAsia="Arial" w:hAnsi="Arial"/>
          <w:sz w:val="22"/>
          <w:szCs w:val="22"/>
        </w:rPr>
        <w:t xml:space="preserve">Cuidarte+ es una plataforma web multicapa desarrollada por CleaLAB Spa para centros de salud, orientada a la gestión de pacientes, exámenes médicos y documentos clínicos. Su arquitectura integra un frontend en React (Material UI y Tailwind), un backend API RESTful en Node.js/Express y una base de datos PostgreSQL. El sistema gestiona datos sensibles de salud — fichas clínicas, diagnósticos y documentos adjuntos — por lo que la calidad del software no puede evaluarse solo por su funcionamiento: la seguridad y el cumplimiento normativo son pilares fundamentales de la calidad en este contexto.</w:t>
      </w:r>
    </w:p>
    <w:p>
      <w:pPr>
        <w:spacing w:after="120" w:line="360"/>
        <w:jc w:val="both"/>
      </w:pPr>
      <w:r>
        <w:rPr>
          <w:rFonts w:ascii="Arial" w:cs="Arial" w:eastAsia="Arial" w:hAnsi="Arial"/>
          <w:sz w:val="22"/>
          <w:szCs w:val="22"/>
        </w:rPr>
        <w:t xml:space="preserve">Este informe corresponde a la segunda iteración del caso semestral (Evaluación Parcial 3) y consolida el trabajo de aseguramiento de la calidad realizado por el equipo durante la Experiencia 2: el Plan Maestro de pruebas, el diseño y ejecución de casos de prueba, la revisión manual del código fuente guiada por OWASP Top 10 y el análisis estático automatizado con SonarQube. El objetivo es determinar, con evidencia trazable, si el sistema puede liberarse a producción y bajo qué condiciones, identificando las vulnerabilidades y problemas de calidad encontrados con su criticidad correspondiente.</w:t>
      </w:r>
    </w:p>
    <w:p>
      <w:pPr>
        <w:spacing w:after="120" w:line="360"/>
        <w:jc w:val="both"/>
      </w:pPr>
      <w:r>
        <w:rPr>
          <w:rFonts w:ascii="Arial" w:cs="Arial" w:eastAsia="Arial" w:hAnsi="Arial"/>
          <w:sz w:val="22"/>
          <w:szCs w:val="22"/>
        </w:rPr>
        <w:t xml:space="preserve">El informe se estructura de la siguiente forma: la sección 2 define los criterios de calidad, seguridad y cumplimiento normativo que el software debe satisfacer; la sección 3 presenta el plan de pruebas (estrategia, tipos de prueba, criterios de aceptación y herramientas); la sección 4 documenta el diseño de los casos de prueba; la sección 5 registra la ejecución y los incidentes con su criticidad; la sección 6 desarrolla el análisis ético y normativo; y la sección 7 cierra con conclusiones, recomendaciones y el veredicto de certificación.</w:t>
      </w:r>
    </w:p>
    <w:p>
      <w:pPr>
        <w:pStyle w:val="Heading2"/>
        <w:spacing w:after="100" w:before="200" w:line="360"/>
      </w:pPr>
      <w:r>
        <w:rPr>
          <w:rFonts w:ascii="Arial" w:cs="Arial" w:eastAsia="Arial" w:hAnsi="Arial"/>
          <w:b/>
          <w:bCs/>
          <w:color w:val="000000"/>
          <w:sz w:val="24"/>
          <w:szCs w:val="24"/>
        </w:rPr>
        <w:t xml:space="preserve">1.1 Ajustes incorporados desde la Evaluación 1</w:t>
      </w:r>
    </w:p>
    <w:p>
      <w:pPr>
        <w:spacing w:after="120" w:line="360"/>
        <w:jc w:val="both"/>
      </w:pPr>
      <w:r>
        <w:rPr>
          <w:rFonts w:ascii="Arial" w:cs="Arial" w:eastAsia="Arial" w:hAnsi="Arial"/>
          <w:sz w:val="22"/>
          <w:szCs w:val="22"/>
        </w:rPr>
        <w:t xml:space="preserve">La Evaluación Parcial 1 obtuvo 88/100 puntos (nota 6,1). A partir de los puntajes por indicador, el equipo identificó tres brechas y las incorporó en este informe: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6520"/>
      </w:tblGrid>
      <w:tr>
        <w:trPr>
          <w:tblHeader/>
        </w:trPr>
        <w:tc>
          <w:tcPr>
            <w:tcW w:type="dxa" w:w="29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Indicador EP1</w:t>
            </w:r>
          </w:p>
        </w:tc>
        <w:tc>
          <w:tcPr>
            <w:tcW w:type="dxa" w:w="21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Puntaje</w:t>
            </w:r>
          </w:p>
        </w:tc>
        <w:tc>
          <w:tcPr>
            <w:tcW w:type="dxa" w:w="652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Ajuste incorporado en este informe</w:t>
            </w:r>
          </w:p>
        </w:tc>
      </w:tr>
      <w:tr>
        <w:tc>
          <w:tcPr>
            <w:tcW w:type="dxa" w:w="2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Identifica la importancia de la calidad, la seguridad y el cumplimiento legal (15%)</w:t>
            </w:r>
          </w:p>
        </w:tc>
        <w:tc>
          <w:tcPr>
            <w:tcW w:type="dxa" w:w="21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12/15 — omisiones y ejemplos limitados</w:t>
            </w:r>
          </w:p>
        </w:tc>
        <w:tc>
          <w:tcPr>
            <w:tcW w:type="dxa" w:w="65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 integraron ejemplos concretos del sistema: credenciales en texto plano en auth.js, revocación de sesión ausente confirmada en ejecución (CP006), RUT aceptado sin dígito verificador, y resultados reales de SonarQube.</w:t>
            </w:r>
          </w:p>
        </w:tc>
      </w:tr>
      <w:tr>
        <w:tc>
          <w:tcPr>
            <w:tcW w:type="dxa" w:w="2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Reconoce los elementos que componen un plan de pruebas y su vinculación con requerimientos y normativas (25%)</w:t>
            </w:r>
          </w:p>
        </w:tc>
        <w:tc>
          <w:tcPr>
            <w:tcW w:type="dxa" w:w="21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20/25 — apartados incompletos y vínculos poco detallados</w:t>
            </w:r>
          </w:p>
        </w:tc>
        <w:tc>
          <w:tcPr>
            <w:tcW w:type="dxa" w:w="65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plan ahora incluye todos los apartados (objetivo, alcance, estrategia, tipos, criterios de aceptación, herramientas, recursos humanos/técnicos, entorno y cronograma), con cada tipo de prueba vinculado explícitamente a su requisito (RQ/RF/NFR), regla de negocio y riesgo priorizado (RS-01 a RS-04).</w:t>
            </w:r>
          </w:p>
        </w:tc>
      </w:tr>
      <w:tr>
        <w:tc>
          <w:tcPr>
            <w:tcW w:type="dxa" w:w="2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Analiza la cobertura, pertinencia y coherencia del plan frente a estándares técnicos y legales (20%)</w:t>
            </w:r>
          </w:p>
        </w:tc>
        <w:tc>
          <w:tcPr>
            <w:tcW w:type="dxa" w:w="21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16/20 — análisis superficial</w:t>
            </w:r>
          </w:p>
        </w:tc>
        <w:tc>
          <w:tcPr>
            <w:tcW w:type="dxa" w:w="65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 incorporó una matriz de trazabilidad requisito → caso → estado de cobertura, y un análisis crítico de coherencia del plan contra ISO/IEC 25010, OWASP Top 10 y las leyes chilenas 19.628 y 20.584, distinguiendo lo cumplido, lo parcial y lo no ejecutado con su justificación.</w:t>
            </w:r>
          </w:p>
        </w:tc>
      </w:tr>
    </w:tbl>
    <w:p>
      <w:r>
        <w:br w:type="page"/>
      </w:r>
    </w:p>
    <w:p>
      <w:pPr>
        <w:pStyle w:val="Heading1"/>
        <w:spacing w:after="120" w:before="240" w:line="360"/>
      </w:pPr>
      <w:r>
        <w:rPr>
          <w:rFonts w:ascii="Arial" w:cs="Arial" w:eastAsia="Arial" w:hAnsi="Arial"/>
          <w:b/>
          <w:bCs/>
          <w:color w:val="000000"/>
          <w:sz w:val="24"/>
          <w:szCs w:val="24"/>
        </w:rPr>
        <w:t xml:space="preserve">2. Criterios de calidad</w:t>
      </w:r>
    </w:p>
    <w:p>
      <w:pPr>
        <w:spacing w:after="120" w:line="360"/>
        <w:jc w:val="both"/>
      </w:pPr>
      <w:r>
        <w:rPr>
          <w:rFonts w:ascii="Arial" w:cs="Arial" w:eastAsia="Arial" w:hAnsi="Arial"/>
          <w:sz w:val="22"/>
          <w:szCs w:val="22"/>
        </w:rPr>
        <w:t xml:space="preserve">Los criterios que el software debe cumplir se derivan del documento de especificación de requerimientos (ERS Caso B), del contexto de negocio (datos de salud) y de los estándares de referencia. Se organizan en tres grupos: calidad general del producto, seguridad y cumplimiento normativo.</w:t>
      </w:r>
    </w:p>
    <w:p>
      <w:pPr>
        <w:pStyle w:val="Heading2"/>
        <w:spacing w:after="100" w:before="200" w:line="360"/>
      </w:pPr>
      <w:r>
        <w:rPr>
          <w:rFonts w:ascii="Arial" w:cs="Arial" w:eastAsia="Arial" w:hAnsi="Arial"/>
          <w:b/>
          <w:bCs/>
          <w:color w:val="000000"/>
          <w:sz w:val="24"/>
          <w:szCs w:val="24"/>
        </w:rPr>
        <w:t xml:space="preserve">2.1 Calidad del producto (ISO/IEC 25010)</w:t>
      </w:r>
    </w:p>
    <w:p>
      <w:pPr>
        <w:pStyle w:val="ListParagraph"/>
        <w:numPr>
          <w:ilvl w:val="0"/>
          <w:numId w:val="1"/>
        </w:numPr>
        <w:spacing w:after="60" w:line="360"/>
        <w:jc w:val="both"/>
      </w:pPr>
      <w:r>
        <w:rPr>
          <w:rFonts w:ascii="Arial" w:cs="Arial" w:eastAsia="Arial" w:hAnsi="Arial"/>
          <w:sz w:val="22"/>
          <w:szCs w:val="22"/>
        </w:rPr>
        <w:t xml:space="preserve">Adecuación funcional: el sistema debe implementar correctamente los requerimientos RF-1 a RF-5 del ERS (autenticación y sesión, registro de usuarios, gestión de exámenes, visualización de información médica y auditoría), con validaciones que impidan guardar datos inválidos. Ejemplo concreto: el registro de pacientes debe rechazar con HTTP 400 un email sin @ o un nombre de 1 letra, sin alterar la base de datos (verificado en CP001–CP004).</w:t>
      </w:r>
    </w:p>
    <w:p>
      <w:pPr>
        <w:pStyle w:val="ListParagraph"/>
        <w:numPr>
          <w:ilvl w:val="0"/>
          <w:numId w:val="1"/>
        </w:numPr>
        <w:spacing w:after="60" w:line="360"/>
        <w:jc w:val="both"/>
      </w:pPr>
      <w:r>
        <w:rPr>
          <w:rFonts w:ascii="Arial" w:cs="Arial" w:eastAsia="Arial" w:hAnsi="Arial"/>
          <w:sz w:val="22"/>
          <w:szCs w:val="22"/>
        </w:rPr>
        <w:t xml:space="preserve">Eficiencia de desempeño: operaciones CRUD simples bajo 300 ms (NFR-PERF-1) y carga de documentos bajo 10 segundos (RF-4). Ejemplo concreto: se detectó un retardo intencional de 5 segundos en los endpoints de listado (middleware delay.js), confirmado en ejecución con 5.036 ms en CP007 y 5.050 ms en la carga de CP008, lo que impide cumplir la meta.</w:t>
      </w:r>
    </w:p>
    <w:p>
      <w:pPr>
        <w:pStyle w:val="ListParagraph"/>
        <w:numPr>
          <w:ilvl w:val="0"/>
          <w:numId w:val="1"/>
        </w:numPr>
        <w:spacing w:after="60" w:line="360"/>
        <w:jc w:val="both"/>
      </w:pPr>
      <w:r>
        <w:rPr>
          <w:rFonts w:ascii="Arial" w:cs="Arial" w:eastAsia="Arial" w:hAnsi="Arial"/>
          <w:sz w:val="22"/>
          <w:szCs w:val="22"/>
        </w:rPr>
        <w:t xml:space="preserve">Confiabilidad y estabilidad: continuidad operacional del sistema (NFR-DIS-1, disponibilidad 99,5% mensual) y ausencia de fallas bloqueantes en los flujos críticos. Ejemplo: los flujos probados (registro, control de acceso, documentos) no presentaron fallas funcionales bloqueantes.</w:t>
      </w:r>
    </w:p>
    <w:p>
      <w:pPr>
        <w:pStyle w:val="ListParagraph"/>
        <w:numPr>
          <w:ilvl w:val="0"/>
          <w:numId w:val="1"/>
        </w:numPr>
        <w:spacing w:after="60" w:line="360"/>
        <w:jc w:val="both"/>
      </w:pPr>
      <w:r>
        <w:rPr>
          <w:rFonts w:ascii="Arial" w:cs="Arial" w:eastAsia="Arial" w:hAnsi="Arial"/>
          <w:sz w:val="22"/>
          <w:szCs w:val="22"/>
        </w:rPr>
        <w:t xml:space="preserve">Usabilidad y accesibilidad: mensajes de error claros que indiquen qué campo falló y cómo corregirlo (NFR-USAB-3), flujos claros para registro y visualización de exámenes (NFR-USAB-4) y compatibilidad con navegadores modernos y dispositivos móviles (NFR-COMPAT-1/2). Ejemplo: el formulario de pacientes muestra mensajes por campo (evidencias CP002 y CP004).</w:t>
      </w:r>
    </w:p>
    <w:p>
      <w:pPr>
        <w:pStyle w:val="ListParagraph"/>
        <w:numPr>
          <w:ilvl w:val="0"/>
          <w:numId w:val="1"/>
        </w:numPr>
        <w:spacing w:after="60" w:line="360"/>
        <w:jc w:val="both"/>
      </w:pPr>
      <w:r>
        <w:rPr>
          <w:rFonts w:ascii="Arial" w:cs="Arial" w:eastAsia="Arial" w:hAnsi="Arial"/>
          <w:sz w:val="22"/>
          <w:szCs w:val="22"/>
        </w:rPr>
        <w:t xml:space="preserve">Mantenibilidad: código interno mantenible, medido con análisis estático. Ejemplo concreto: SonarQube 9.9.8 reportó 8 issues críticos de complejidad cognitiva (S3776), 14,5% de duplicación y una deuda técnica de 465 minutos sobre 10.133 líneas de código, lo que encarece futuras modificaciones.</w:t>
      </w:r>
    </w:p>
    <w:p>
      <w:pPr>
        <w:pStyle w:val="Heading2"/>
        <w:spacing w:after="100" w:before="200" w:line="360"/>
      </w:pPr>
      <w:r>
        <w:rPr>
          <w:rFonts w:ascii="Arial" w:cs="Arial" w:eastAsia="Arial" w:hAnsi="Arial"/>
          <w:b/>
          <w:bCs/>
          <w:color w:val="000000"/>
          <w:sz w:val="24"/>
          <w:szCs w:val="24"/>
        </w:rPr>
        <w:t xml:space="preserve">2.2 Seguridad</w:t>
      </w:r>
    </w:p>
    <w:p>
      <w:pPr>
        <w:pStyle w:val="ListParagraph"/>
        <w:numPr>
          <w:ilvl w:val="0"/>
          <w:numId w:val="1"/>
        </w:numPr>
        <w:spacing w:after="60" w:line="360"/>
        <w:jc w:val="both"/>
      </w:pPr>
      <w:r>
        <w:rPr>
          <w:rFonts w:ascii="Arial" w:cs="Arial" w:eastAsia="Arial" w:hAnsi="Arial"/>
          <w:sz w:val="22"/>
          <w:szCs w:val="22"/>
        </w:rPr>
        <w:t xml:space="preserve">Protección de datos: las contraseñas deben almacenarse con hash seguro (NFR-SEG-2) y los datos sensibles protegidos en reposo y tránsito (NFR-SEG-1 y NFR-SEG-3). Ejemplo concreto: el código compara y almacena contraseñas en texto plano (auth.js), hallazgo calificado como crítico (H-01).</w:t>
      </w:r>
    </w:p>
    <w:p>
      <w:pPr>
        <w:pStyle w:val="ListParagraph"/>
        <w:numPr>
          <w:ilvl w:val="0"/>
          <w:numId w:val="1"/>
        </w:numPr>
        <w:spacing w:after="60" w:line="360"/>
        <w:jc w:val="both"/>
      </w:pPr>
      <w:r>
        <w:rPr>
          <w:rFonts w:ascii="Arial" w:cs="Arial" w:eastAsia="Arial" w:hAnsi="Arial"/>
          <w:sz w:val="22"/>
          <w:szCs w:val="22"/>
        </w:rPr>
        <w:t xml:space="preserve">Control de acceso: autorización por rol en el backend (NFR-SEG-4) según las reglas de negocio RB-1 a RB-3: el paciente solo lee, el médico gestiona fichas y el administrador gestiona todo. Ejemplo concreto: una paciente que intentó editar un examen recibió 403 Forbidden sin cambios en la base de datos (CP007).</w:t>
      </w:r>
    </w:p>
    <w:p>
      <w:pPr>
        <w:pStyle w:val="ListParagraph"/>
        <w:numPr>
          <w:ilvl w:val="0"/>
          <w:numId w:val="1"/>
        </w:numPr>
        <w:spacing w:after="60" w:line="360"/>
        <w:jc w:val="both"/>
      </w:pPr>
      <w:r>
        <w:rPr>
          <w:rFonts w:ascii="Arial" w:cs="Arial" w:eastAsia="Arial" w:hAnsi="Arial"/>
          <w:sz w:val="22"/>
          <w:szCs w:val="22"/>
        </w:rPr>
        <w:t xml:space="preserve">Gestión de sesión: manejo mediante token JWT con revocación al cerrar sesión (NFR-SEG-9, RF-1.2). Ejemplo concreto: el token reutilizado tras cerrar sesión siguió siendo aceptado con 200 (CP006, hallazgo H-02), incumpliendo el criterio del ERS.</w:t>
      </w:r>
    </w:p>
    <w:p>
      <w:pPr>
        <w:pStyle w:val="ListParagraph"/>
        <w:numPr>
          <w:ilvl w:val="0"/>
          <w:numId w:val="1"/>
        </w:numPr>
        <w:spacing w:after="60" w:line="360"/>
        <w:jc w:val="both"/>
      </w:pPr>
      <w:r>
        <w:rPr>
          <w:rFonts w:ascii="Arial" w:cs="Arial" w:eastAsia="Arial" w:hAnsi="Arial"/>
          <w:sz w:val="22"/>
          <w:szCs w:val="22"/>
        </w:rPr>
        <w:t xml:space="preserve">Integridad de la información: los documentos descargados deben ser íntegros respecto del original y las identificaciones de pacientes confiables. Ejemplos concretos: la descarga de CP008 verificó integridad con SHA256 idéntico entre el archivo subido y el descargado; en cambio, el RUT se valida solo por formato sin dígito verificador (hallazgo H-03), permitiendo fichas asociadas a identidades inconsistentes.</w:t>
      </w:r>
    </w:p>
    <w:p>
      <w:pPr>
        <w:pStyle w:val="ListParagraph"/>
        <w:numPr>
          <w:ilvl w:val="0"/>
          <w:numId w:val="1"/>
        </w:numPr>
        <w:spacing w:after="60" w:line="360"/>
        <w:jc w:val="both"/>
      </w:pPr>
      <w:r>
        <w:rPr>
          <w:rFonts w:ascii="Arial" w:cs="Arial" w:eastAsia="Arial" w:hAnsi="Arial"/>
          <w:sz w:val="22"/>
          <w:szCs w:val="22"/>
        </w:rPr>
        <w:t xml:space="preserve">Manejo de errores seguro: los errores internos no deben exponer información técnica al cliente (NFR-SEG-6). Ejemplo: mensajes con err.message se devuelven al cliente en varias rutas (hallazgo H-07).</w:t>
      </w:r>
    </w:p>
    <w:p>
      <w:pPr>
        <w:pStyle w:val="Heading2"/>
        <w:spacing w:after="100" w:before="200" w:line="360"/>
      </w:pPr>
      <w:r>
        <w:rPr>
          <w:rFonts w:ascii="Arial" w:cs="Arial" w:eastAsia="Arial" w:hAnsi="Arial"/>
          <w:b/>
          <w:bCs/>
          <w:color w:val="000000"/>
          <w:sz w:val="24"/>
          <w:szCs w:val="24"/>
        </w:rPr>
        <w:t xml:space="preserve">2.3 Cumplimiento normativo</w:t>
      </w:r>
    </w:p>
    <w:p>
      <w:pPr>
        <w:pStyle w:val="ListParagraph"/>
        <w:numPr>
          <w:ilvl w:val="0"/>
          <w:numId w:val="1"/>
        </w:numPr>
        <w:spacing w:after="60" w:line="360"/>
        <w:jc w:val="both"/>
      </w:pPr>
      <w:r>
        <w:rPr>
          <w:rFonts w:ascii="Arial" w:cs="Arial" w:eastAsia="Arial" w:hAnsi="Arial"/>
          <w:sz w:val="22"/>
          <w:szCs w:val="22"/>
        </w:rPr>
        <w:t xml:space="preserve">Ley 19.628 (protección de la vida privada): los datos de salud son datos sensibles; el sistema debe resguardar su confidencialidad. Los hallazgos H-01, H-02 y H-04 afectan directamente este deber.</w:t>
      </w:r>
    </w:p>
    <w:p>
      <w:pPr>
        <w:pStyle w:val="ListParagraph"/>
        <w:numPr>
          <w:ilvl w:val="0"/>
          <w:numId w:val="1"/>
        </w:numPr>
        <w:spacing w:after="60" w:line="360"/>
        <w:jc w:val="both"/>
      </w:pPr>
      <w:r>
        <w:rPr>
          <w:rFonts w:ascii="Arial" w:cs="Arial" w:eastAsia="Arial" w:hAnsi="Arial"/>
          <w:sz w:val="22"/>
          <w:szCs w:val="22"/>
        </w:rPr>
        <w:t xml:space="preserve">Ley 20.584 (derechos y deberes del paciente): la ficha clínica es reservada, su acceso debe estar controlado y trazado. La auditoría existente es una fortaleza, pero la falta de revocación de sesión (H-02) debilita el control de acceso y la identificación errónea de pacientes (H-03) compromete la correcta asociación de la ficha.</w:t>
      </w:r>
    </w:p>
    <w:p>
      <w:pPr>
        <w:pStyle w:val="ListParagraph"/>
        <w:numPr>
          <w:ilvl w:val="0"/>
          <w:numId w:val="1"/>
        </w:numPr>
        <w:spacing w:after="60" w:line="360"/>
        <w:jc w:val="both"/>
      </w:pPr>
      <w:r>
        <w:rPr>
          <w:rFonts w:ascii="Arial" w:cs="Arial" w:eastAsia="Arial" w:hAnsi="Arial"/>
          <w:sz w:val="22"/>
          <w:szCs w:val="22"/>
        </w:rPr>
        <w:t xml:space="preserve">NFR-SEG-8 del ERS: cumplimiento de normativas de protección de datos personales, verificado mediante revisión manual OWASP Top 10 y análisis estático.</w:t>
      </w:r>
    </w:p>
    <w:p>
      <w:pPr>
        <w:pStyle w:val="ListParagraph"/>
        <w:numPr>
          <w:ilvl w:val="0"/>
          <w:numId w:val="1"/>
        </w:numPr>
        <w:spacing w:after="60" w:line="360"/>
        <w:jc w:val="both"/>
      </w:pPr>
      <w:r>
        <w:rPr>
          <w:rFonts w:ascii="Arial" w:cs="Arial" w:eastAsia="Arial" w:hAnsi="Arial"/>
          <w:sz w:val="22"/>
          <w:szCs w:val="22"/>
        </w:rPr>
        <w:t xml:space="preserve">OWASP Top 10 (2021): el sistema debe evitar los riesgos categorizados; los hallazgos se clasificaron según A01 (control de acceso roto — H-04), A02 (fallos criptográficos — H-01, H-02), A05 (configuración incorrecta — H-06) y A07 (fallos de identificación y autenticación — H-02, H-03).</w:t>
      </w:r>
    </w:p>
    <w:p>
      <w:r>
        <w:br w:type="page"/>
      </w:r>
    </w:p>
    <w:p>
      <w:pPr>
        <w:pStyle w:val="Heading1"/>
        <w:spacing w:after="120" w:before="240" w:line="360"/>
      </w:pPr>
      <w:r>
        <w:rPr>
          <w:rFonts w:ascii="Arial" w:cs="Arial" w:eastAsia="Arial" w:hAnsi="Arial"/>
          <w:b/>
          <w:bCs/>
          <w:color w:val="000000"/>
          <w:sz w:val="24"/>
          <w:szCs w:val="24"/>
        </w:rPr>
        <w:t xml:space="preserve">3. Plan de pruebas</w:t>
      </w:r>
    </w:p>
    <w:p>
      <w:pPr>
        <w:pStyle w:val="Heading2"/>
        <w:spacing w:after="100" w:before="200" w:line="360"/>
      </w:pPr>
      <w:r>
        <w:rPr>
          <w:rFonts w:ascii="Arial" w:cs="Arial" w:eastAsia="Arial" w:hAnsi="Arial"/>
          <w:b/>
          <w:bCs/>
          <w:color w:val="000000"/>
          <w:sz w:val="24"/>
          <w:szCs w:val="24"/>
        </w:rPr>
        <w:t xml:space="preserve">3.0 Objetivo y alcance</w:t>
      </w:r>
    </w:p>
    <w:p>
      <w:pPr>
        <w:spacing w:after="120" w:line="360"/>
        <w:jc w:val="both"/>
      </w:pPr>
      <w:r>
        <w:rPr>
          <w:rFonts w:ascii="Arial" w:cs="Arial" w:eastAsia="Arial" w:hAnsi="Arial"/>
          <w:sz w:val="22"/>
          <w:szCs w:val="22"/>
        </w:rPr>
        <w:t xml:space="preserve">Objetivo: verificar que Cuidarte+ garantice la confidencialidad, integridad, disponibilidad y rendimiento en la gestión de datos médicos y usuarios, asegurando el cumplimiento de controles de seguridad OWASP y de control de acceso por rol, con trazabilidad de evidencia para cada caso ejecutado.</w:t>
      </w:r>
    </w:p>
    <w:p>
      <w:pPr>
        <w:spacing w:after="120" w:line="360"/>
        <w:jc w:val="both"/>
      </w:pPr>
      <w:r>
        <w:rPr>
          <w:rFonts w:ascii="Arial" w:cs="Arial" w:eastAsia="Arial" w:hAnsi="Arial"/>
          <w:sz w:val="22"/>
          <w:szCs w:val="22"/>
        </w:rPr>
        <w:t xml:space="preserve">Incluye: módulos de autenticación (JWT), control de acceso (RBAC), registro y validación de pacientes (POST /pacientes), gestión de exámenes médicos, carga y descarga de documentos, registro de auditoría y revisión de seguridad API/Web (OWASP Top 10 manual) más análisis estático automatizado.</w:t>
      </w:r>
    </w:p>
    <w:p>
      <w:pPr>
        <w:spacing w:after="120" w:line="360"/>
        <w:jc w:val="both"/>
      </w:pPr>
      <w:r>
        <w:rPr>
          <w:rFonts w:ascii="Arial" w:cs="Arial" w:eastAsia="Arial" w:hAnsi="Arial"/>
          <w:sz w:val="22"/>
          <w:szCs w:val="22"/>
        </w:rPr>
        <w:t xml:space="preserve">No incluye en esta iteración: integración con sistemas externos de salud, pasarelas de pago, despliegue en producción, pruebas de carga con 200 usuarios concurrentes, DAST exhaustivo y la corrección del código fuente (los defectos se registran y recomiendan, no se corrigen, según la pauta de la actividad).</w:t>
      </w:r>
    </w:p>
    <w:p>
      <w:pPr>
        <w:pStyle w:val="Heading2"/>
        <w:spacing w:after="100" w:before="200" w:line="360"/>
      </w:pPr>
      <w:r>
        <w:rPr>
          <w:rFonts w:ascii="Arial" w:cs="Arial" w:eastAsia="Arial" w:hAnsi="Arial"/>
          <w:b/>
          <w:bCs/>
          <w:color w:val="000000"/>
          <w:sz w:val="24"/>
          <w:szCs w:val="24"/>
        </w:rPr>
        <w:t xml:space="preserve">3.1 Estrategia de pruebas</w:t>
      </w:r>
    </w:p>
    <w:p>
      <w:pPr>
        <w:spacing w:after="120" w:line="360"/>
        <w:jc w:val="both"/>
      </w:pPr>
      <w:r>
        <w:rPr>
          <w:rFonts w:ascii="Arial" w:cs="Arial" w:eastAsia="Arial" w:hAnsi="Arial"/>
          <w:sz w:val="22"/>
          <w:szCs w:val="22"/>
        </w:rPr>
        <w:t xml:space="preserve">Enfoque mixto (manual y automatizado). Las pruebas manuales cubren los flujos críticos de interfaz y API (interfaz web + Swagger/Postman), la revisión estática del código guiada por OWASP Top 10 y la verificación de mensajes de usabilidad. Las herramientas automatizadas cubren el análisis estático del código (SonarQube) y la reproducibilidad del entorno (Docker).</w:t>
      </w:r>
    </w:p>
    <w:p>
      <w:pPr>
        <w:spacing w:after="120" w:line="360"/>
        <w:jc w:val="both"/>
      </w:pPr>
      <w:r>
        <w:rPr>
          <w:rFonts w:ascii="Arial" w:cs="Arial" w:eastAsia="Arial" w:hAnsi="Arial"/>
          <w:sz w:val="22"/>
          <w:szCs w:val="22"/>
        </w:rPr>
        <w:t xml:space="preserve">Etapas del proceso: (1) reconocimiento del sistema levantado en Docker; (2) diseño de casos con técnicas formales (partición de equivalencia y valores límite) sobre las reglas de validación reales del código; (3) ejecución funcional y de seguridad con registro de evidencia; (4) análisis estático automatizado del código fuente; (5) consolidación de hallazgos, clasificación de criticidad y emisión del veredicto.</w:t>
      </w:r>
    </w:p>
    <w:p>
      <w:pPr>
        <w:spacing w:after="120" w:line="360"/>
        <w:jc w:val="both"/>
      </w:pPr>
      <w:r>
        <w:rPr>
          <w:rFonts w:ascii="Arial" w:cs="Arial" w:eastAsia="Arial" w:hAnsi="Arial"/>
          <w:sz w:val="22"/>
          <w:szCs w:val="22"/>
        </w:rPr>
        <w:t xml:space="preserve">Priorización: basada en los riesgos priorizados del Plan Maestro — RS-01 escalación de privilegios vía token JWT (alta), RS-02 fuga de datos por falta de sanitización (alta), RS-03 lentitud ante concurrencia (media), RS-04 ausencia de auditoría en operaciones críticas (media). La seguridad de sesión y datos se prueba primero; luego las validaciones funcionales y el rendimiento.</w:t>
      </w:r>
    </w:p>
    <w:p>
      <w:pPr>
        <w:spacing w:after="120" w:line="360"/>
        <w:jc w:val="both"/>
      </w:pPr>
      <w:r>
        <w:rPr>
          <w:rFonts w:ascii="Arial" w:cs="Arial" w:eastAsia="Arial" w:hAnsi="Arial"/>
          <w:sz w:val="22"/>
          <w:szCs w:val="22"/>
        </w:rPr>
        <w:t xml:space="preserve">Criterios de entrada: contenedores Docker levantados (frontend 3333, backend 4444, PostgreSQL 15442), usuarios de prueba con roles médico y paciente disponibles, colección Swagger/Postman operativa y datos sintéticos cargados. Criterios de salida: 100% de los casos diseñados ejecutados con evidencia archivada, hallazgos clasificados por criticidad y veredicto de certificación emitido.</w:t>
      </w:r>
    </w:p>
    <w:p>
      <w:pPr>
        <w:pStyle w:val="Heading2"/>
        <w:spacing w:after="100" w:before="200" w:line="360"/>
      </w:pPr>
      <w:r>
        <w:rPr>
          <w:rFonts w:ascii="Arial" w:cs="Arial" w:eastAsia="Arial" w:hAnsi="Arial"/>
          <w:b/>
          <w:bCs/>
          <w:color w:val="000000"/>
          <w:sz w:val="24"/>
          <w:szCs w:val="24"/>
        </w:rPr>
        <w:t xml:space="preserve">3.2 Tipos de prueba</w:t>
      </w:r>
    </w:p>
    <w:p>
      <w:pPr>
        <w:spacing w:after="120" w:line="360"/>
        <w:jc w:val="both"/>
      </w:pPr>
      <w:r>
        <w:rPr>
          <w:rFonts w:ascii="Arial" w:cs="Arial" w:eastAsia="Arial" w:hAnsi="Arial"/>
          <w:sz w:val="22"/>
          <w:szCs w:val="22"/>
        </w:rPr>
        <w:t xml:space="preserve">Se aplicaron los siguientes tipos de prueba, cada uno vinculado al requisito y riesgo que justifica su inclusión:</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2500"/>
        <w:gridCol w:w="3520"/>
      </w:tblGrid>
      <w:tr>
        <w:trPr>
          <w:tblHeader/>
        </w:trPr>
        <w:tc>
          <w:tcPr>
            <w:tcW w:type="dxa" w:w="19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Tipo de prueba</w:t>
            </w:r>
          </w:p>
        </w:tc>
        <w:tc>
          <w:tcPr>
            <w:tcW w:type="dxa" w:w="36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Qué verifica</w:t>
            </w:r>
          </w:p>
        </w:tc>
        <w:tc>
          <w:tcPr>
            <w:tcW w:type="dxa" w:w="25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Vinculación</w:t>
            </w:r>
          </w:p>
        </w:tc>
        <w:tc>
          <w:tcPr>
            <w:tcW w:type="dxa" w:w="352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Herramienta o técnica</w:t>
            </w:r>
          </w:p>
        </w:tc>
      </w:tr>
      <w:tr>
        <w:tc>
          <w:tcPr>
            <w:tcW w:type="dxa" w:w="1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Funcionales y de borde</w:t>
            </w:r>
          </w:p>
        </w:tc>
        <w:tc>
          <w:tcPr>
            <w:tcW w:type="dxa" w:w="3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Registro y listado de pacientes con datos válidos, inválidos, duplicados y de borde; carga y descarga de documentos con integridad.</w:t>
            </w:r>
          </w:p>
        </w:tc>
        <w:tc>
          <w:tcPr>
            <w:tcW w:type="dxa" w:w="25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RQ-07 (RF-2), RQ-03 (RF-3/RF-4); riesgo RS-02</w:t>
            </w:r>
          </w:p>
        </w:tc>
        <w:tc>
          <w:tcPr>
            <w:tcW w:type="dxa" w:w="35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Interfaz web + Swagger/Postman; partición de equivalencia y valores límite</w:t>
            </w:r>
          </w:p>
        </w:tc>
      </w:tr>
      <w:tr>
        <w:tc>
          <w:tcPr>
            <w:tcW w:type="dxa" w:w="1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Seguridad — sesión y acceso</w:t>
            </w:r>
          </w:p>
        </w:tc>
        <w:tc>
          <w:tcPr>
            <w:tcW w:type="dxa" w:w="3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Login con JWT, control por rol y propiedad (401/403), revocación de sesión al cerrar sesión.</w:t>
            </w:r>
          </w:p>
        </w:tc>
        <w:tc>
          <w:tcPr>
            <w:tcW w:type="dxa" w:w="25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RQ-01 (RF-1, NFR-SEG-9), RQ-02 (RB-1 a RB-3, NFR-SEG-4); riesgos RS-01, RS-02</w:t>
            </w:r>
          </w:p>
        </w:tc>
        <w:tc>
          <w:tcPr>
            <w:tcW w:type="dxa" w:w="35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API (curl/Postman) + revisión de código</w:t>
            </w:r>
          </w:p>
        </w:tc>
      </w:tr>
      <w:tr>
        <w:tc>
          <w:tcPr>
            <w:tcW w:type="dxa" w:w="1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Seguridad — análisis estático</w:t>
            </w:r>
          </w:p>
        </w:tc>
        <w:tc>
          <w:tcPr>
            <w:tcW w:type="dxa" w:w="3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Almacenamiento de contraseñas, secreto JWT, configuración de archivos y CORS; calidad interna del código (bugs, code smells, vulnerabilidades).</w:t>
            </w:r>
          </w:p>
        </w:tc>
        <w:tc>
          <w:tcPr>
            <w:tcW w:type="dxa" w:w="25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NFR-SEG-1 a NFR-SEG-9; OWASP Top 10</w:t>
            </w:r>
          </w:p>
        </w:tc>
        <w:tc>
          <w:tcPr>
            <w:tcW w:type="dxa" w:w="35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Revisión manual OWASP Top 10 + SonarQube 9.9.8</w:t>
            </w:r>
          </w:p>
        </w:tc>
      </w:tr>
      <w:tr>
        <w:tc>
          <w:tcPr>
            <w:tcW w:type="dxa" w:w="1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Rendimiento</w:t>
            </w:r>
          </w:p>
        </w:tc>
        <w:tc>
          <w:tcPr>
            <w:tcW w:type="dxa" w:w="3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Tiempos de respuesta reales de CRUD y de carga/descarga de documentos (incluye retardo intencional de 5 s detectado).</w:t>
            </w:r>
          </w:p>
        </w:tc>
        <w:tc>
          <w:tcPr>
            <w:tcW w:type="dxa" w:w="25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RQ-04 (NFR-PERF-1 a 3); riesgo RS-03</w:t>
            </w:r>
          </w:p>
        </w:tc>
        <w:tc>
          <w:tcPr>
            <w:tcW w:type="dxa" w:w="35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Medición con API (curl) + DevTools; JMeter planificado</w:t>
            </w:r>
          </w:p>
        </w:tc>
      </w:tr>
      <w:tr>
        <w:tc>
          <w:tcPr>
            <w:tcW w:type="dxa" w:w="1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Usabilidad</w:t>
            </w:r>
          </w:p>
        </w:tc>
        <w:tc>
          <w:tcPr>
            <w:tcW w:type="dxa" w:w="3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Claridad de los mensajes de error del formulario de pacientes (qué falló y cómo corregirlo).</w:t>
            </w:r>
          </w:p>
        </w:tc>
        <w:tc>
          <w:tcPr>
            <w:tcW w:type="dxa" w:w="25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RQ-07 (NFR-USAB-3)</w:t>
            </w:r>
          </w:p>
        </w:tc>
        <w:tc>
          <w:tcPr>
            <w:tcW w:type="dxa" w:w="35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Lista de chequeo de interfaz</w:t>
            </w:r>
          </w:p>
        </w:tc>
      </w:tr>
      <w:tr>
        <w:tc>
          <w:tcPr>
            <w:tcW w:type="dxa" w:w="1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Integración / API</w:t>
            </w:r>
          </w:p>
        </w:tc>
        <w:tc>
          <w:tcPr>
            <w:tcW w:type="dxa" w:w="3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Comunicación frontend–backend–base de datos: contenedores levantados, /docs responde y los endpoints del frontend existen.</w:t>
            </w:r>
          </w:p>
        </w:tc>
        <w:tc>
          <w:tcPr>
            <w:tcW w:type="dxa" w:w="25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Base operativa de toda la ejecución</w:t>
            </w:r>
          </w:p>
        </w:tc>
        <w:tc>
          <w:tcPr>
            <w:tcW w:type="dxa" w:w="35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docker ps, docker compose logs, Swagger (/docs, /openapi.json)</w:t>
            </w:r>
          </w:p>
        </w:tc>
      </w:tr>
    </w:tbl>
    <w:p>
      <w:pPr>
        <w:spacing w:after="120" w:line="360"/>
        <w:jc w:val="both"/>
      </w:pPr>
      <w:r>
        <w:rPr>
          <w:rFonts w:ascii="Arial" w:cs="Arial" w:eastAsia="Arial" w:hAnsi="Arial"/>
          <w:sz w:val="22"/>
          <w:szCs w:val="22"/>
        </w:rPr>
        <w:t xml:space="preserve">Justificación de la selección: las pruebas funcionales y de borde son el flujo crítico del negocio y concentran las reglas de validación del módulo propio del equipo (registro de pacientes). Las pruebas de seguridad responden a que el sistema maneja datos de salud y su código es vulnerable a propósito (contraseñas en texto plano, sesiones sin revocación), por lo que su verificación es prioritaria (RS-01/RS-02). El análisis estático automatizado complementa la revisión manual al auditar el código completo de forma sistemática (IL 2.3). Las mediciones de rendimiento evidencian el retardo artificial antes de comprometer metas formales. La prueba de integración es la base: si un contenedor cae, nada funciona. La usabilidad se incluye porque el sistema es usado por pacientes y personal de salud con poco tiempo.</w:t>
      </w:r>
    </w:p>
    <w:p>
      <w:pPr>
        <w:pStyle w:val="Heading2"/>
        <w:spacing w:after="100" w:before="200" w:line="360"/>
      </w:pPr>
      <w:r>
        <w:rPr>
          <w:rFonts w:ascii="Arial" w:cs="Arial" w:eastAsia="Arial" w:hAnsi="Arial"/>
          <w:b/>
          <w:bCs/>
          <w:color w:val="000000"/>
          <w:sz w:val="24"/>
          <w:szCs w:val="24"/>
        </w:rPr>
        <w:t xml:space="preserve">3.3 Criterios de aceptación</w:t>
      </w:r>
    </w:p>
    <w:p>
      <w:pPr>
        <w:spacing w:after="120" w:line="360"/>
        <w:jc w:val="both"/>
      </w:pPr>
      <w:r>
        <w:rPr>
          <w:rFonts w:ascii="Arial" w:cs="Arial" w:eastAsia="Arial" w:hAnsi="Arial"/>
          <w:sz w:val="22"/>
          <w:szCs w:val="22"/>
        </w:rPr>
        <w:t xml:space="preserve">Criterios transversales para considerar aprobado un caso de prueba, derivados del ERS y de las reglas de negocio:</w:t>
      </w:r>
    </w:p>
    <w:p>
      <w:pPr>
        <w:pStyle w:val="ListParagraph"/>
        <w:numPr>
          <w:ilvl w:val="0"/>
          <w:numId w:val="1"/>
        </w:numPr>
        <w:spacing w:after="60" w:line="360"/>
        <w:jc w:val="both"/>
      </w:pPr>
      <w:r>
        <w:rPr>
          <w:rFonts w:ascii="Arial" w:cs="Arial" w:eastAsia="Arial" w:hAnsi="Arial"/>
          <w:sz w:val="22"/>
          <w:szCs w:val="22"/>
        </w:rPr>
        <w:t xml:space="preserve">Seguridad: ninguna falla de severidad crítica o alta sin registrar; toda solicitud a recursos protegidos sin token responde 401 y con rol o propiedad incorrectos responde 403; el login entrega un token JWT válido con expiración de 2 horas; cerrar sesión debe invalidar el token (RF-1.2).</w:t>
      </w:r>
    </w:p>
    <w:p>
      <w:pPr>
        <w:pStyle w:val="ListParagraph"/>
        <w:numPr>
          <w:ilvl w:val="0"/>
          <w:numId w:val="1"/>
        </w:numPr>
        <w:spacing w:after="60" w:line="360"/>
        <w:jc w:val="both"/>
      </w:pPr>
      <w:r>
        <w:rPr>
          <w:rFonts w:ascii="Arial" w:cs="Arial" w:eastAsia="Arial" w:hAnsi="Arial"/>
          <w:sz w:val="22"/>
          <w:szCs w:val="22"/>
        </w:rPr>
        <w:t xml:space="preserve">Funcionalidad y negocio: ante datos inválidos, el sistema responde 400 con detalle del campo y no guarda nada; ante duplicados (RUT o email) responde 400 sin agregar filas; un registro válido responde 201, aparece en el listado y genera registro de auditoría (RF-5.1).</w:t>
      </w:r>
    </w:p>
    <w:p>
      <w:pPr>
        <w:pStyle w:val="ListParagraph"/>
        <w:numPr>
          <w:ilvl w:val="0"/>
          <w:numId w:val="1"/>
        </w:numPr>
        <w:spacing w:after="60" w:line="360"/>
        <w:jc w:val="both"/>
      </w:pPr>
      <w:r>
        <w:rPr>
          <w:rFonts w:ascii="Arial" w:cs="Arial" w:eastAsia="Arial" w:hAnsi="Arial"/>
          <w:sz w:val="22"/>
          <w:szCs w:val="22"/>
        </w:rPr>
        <w:t xml:space="preserve">Rendimiento: la carga y descarga de documentos no debe exceder 10 segundos (RF-4); las metas de &lt;300 ms en el 95% de los CRUD y 200 usuarios concurrentes quedan reevaluadas para la próxima iteración tras retirar el retardo de 5 s (H-05).</w:t>
      </w:r>
    </w:p>
    <w:p>
      <w:pPr>
        <w:pStyle w:val="ListParagraph"/>
        <w:numPr>
          <w:ilvl w:val="0"/>
          <w:numId w:val="1"/>
        </w:numPr>
        <w:spacing w:after="60" w:line="360"/>
        <w:jc w:val="both"/>
      </w:pPr>
      <w:r>
        <w:rPr>
          <w:rFonts w:ascii="Arial" w:cs="Arial" w:eastAsia="Arial" w:hAnsi="Arial"/>
          <w:sz w:val="22"/>
          <w:szCs w:val="22"/>
        </w:rPr>
        <w:t xml:space="preserve">Integridad: el documento descargado debe ser idéntico al subido (verificación SHA256).</w:t>
      </w:r>
    </w:p>
    <w:p>
      <w:pPr>
        <w:pStyle w:val="ListParagraph"/>
        <w:numPr>
          <w:ilvl w:val="0"/>
          <w:numId w:val="1"/>
        </w:numPr>
        <w:spacing w:after="60" w:line="360"/>
        <w:jc w:val="both"/>
      </w:pPr>
      <w:r>
        <w:rPr>
          <w:rFonts w:ascii="Arial" w:cs="Arial" w:eastAsia="Arial" w:hAnsi="Arial"/>
          <w:sz w:val="22"/>
          <w:szCs w:val="22"/>
        </w:rPr>
        <w:t xml:space="preserve">Análisis estático: Quality Gate de SonarQube en estado OK y cero vulnerabilidades nuevas; todo hotspot o issue crítico se registra como hallazgo con su recomendación.</w:t>
      </w:r>
    </w:p>
    <w:p>
      <w:pPr>
        <w:pStyle w:val="Heading2"/>
        <w:spacing w:after="100" w:before="200" w:line="360"/>
      </w:pPr>
      <w:r>
        <w:rPr>
          <w:rFonts w:ascii="Arial" w:cs="Arial" w:eastAsia="Arial" w:hAnsi="Arial"/>
          <w:b/>
          <w:bCs/>
          <w:color w:val="000000"/>
          <w:sz w:val="24"/>
          <w:szCs w:val="24"/>
        </w:rPr>
        <w:t xml:space="preserve">3.4 Herramientas y recursos utilizados</w:t>
      </w:r>
    </w:p>
    <w:p>
      <w:pPr>
        <w:spacing w:after="120" w:line="360"/>
        <w:jc w:val="both"/>
      </w:pPr>
      <w:r>
        <w:rPr>
          <w:rFonts w:ascii="Arial" w:cs="Arial" w:eastAsia="Arial" w:hAnsi="Arial"/>
          <w:sz w:val="22"/>
          <w:szCs w:val="22"/>
        </w:rPr>
        <w:t xml:space="preserve">Herramientas tecnológicas (con su fundamento):</w:t>
      </w:r>
    </w:p>
    <w:p>
      <w:pPr>
        <w:pStyle w:val="ListParagraph"/>
        <w:numPr>
          <w:ilvl w:val="0"/>
          <w:numId w:val="1"/>
        </w:numPr>
        <w:spacing w:after="60" w:line="360"/>
        <w:jc w:val="both"/>
      </w:pPr>
      <w:r>
        <w:rPr>
          <w:rFonts w:ascii="Arial" w:cs="Arial" w:eastAsia="Arial" w:hAnsi="Arial"/>
          <w:sz w:val="22"/>
          <w:szCs w:val="22"/>
        </w:rPr>
        <w:t xml:space="preserve">Docker Compose: levanta el sistema completo (frontend, backend y PostgreSQL) en un entorno reproducible y aislado, condición para que toda evidencia sea repetible.</w:t>
      </w:r>
    </w:p>
    <w:p>
      <w:pPr>
        <w:pStyle w:val="ListParagraph"/>
        <w:numPr>
          <w:ilvl w:val="0"/>
          <w:numId w:val="1"/>
        </w:numPr>
        <w:spacing w:after="60" w:line="360"/>
        <w:jc w:val="both"/>
      </w:pPr>
      <w:r>
        <w:rPr>
          <w:rFonts w:ascii="Arial" w:cs="Arial" w:eastAsia="Arial" w:hAnsi="Arial"/>
          <w:sz w:val="22"/>
          <w:szCs w:val="22"/>
        </w:rPr>
        <w:t xml:space="preserve">Swagger (/docs) y Postman/curl: diseño y ejecución de pruebas funcionales y de seguridad sobre la API RESTful, con documentación viva de los contratos.</w:t>
      </w:r>
    </w:p>
    <w:p>
      <w:pPr>
        <w:pStyle w:val="ListParagraph"/>
        <w:numPr>
          <w:ilvl w:val="0"/>
          <w:numId w:val="1"/>
        </w:numPr>
        <w:spacing w:after="60" w:line="360"/>
        <w:jc w:val="both"/>
      </w:pPr>
      <w:r>
        <w:rPr>
          <w:rFonts w:ascii="Arial" w:cs="Arial" w:eastAsia="Arial" w:hAnsi="Arial"/>
          <w:sz w:val="22"/>
          <w:szCs w:val="22"/>
        </w:rPr>
        <w:t xml:space="preserve">SonarQube Community 9.9.8: análisis estático del código fuente (SAST) para auditar calidad interna y vulnerabilidades conforme a criterios técnicos y normativos (IL 2.3); seleccionado por ser estándar de la industria, gratuito y con perfiles OWASP.</w:t>
      </w:r>
    </w:p>
    <w:p>
      <w:pPr>
        <w:pStyle w:val="ListParagraph"/>
        <w:numPr>
          <w:ilvl w:val="0"/>
          <w:numId w:val="1"/>
        </w:numPr>
        <w:spacing w:after="60" w:line="360"/>
        <w:jc w:val="both"/>
      </w:pPr>
      <w:r>
        <w:rPr>
          <w:rFonts w:ascii="Arial" w:cs="Arial" w:eastAsia="Arial" w:hAnsi="Arial"/>
          <w:sz w:val="22"/>
          <w:szCs w:val="22"/>
        </w:rPr>
        <w:t xml:space="preserve">Chrome DevTools: inspección de red para verificar tiempos de respuesta y comportamiento del frontend.</w:t>
      </w:r>
    </w:p>
    <w:p>
      <w:pPr>
        <w:pStyle w:val="ListParagraph"/>
        <w:numPr>
          <w:ilvl w:val="0"/>
          <w:numId w:val="1"/>
        </w:numPr>
        <w:spacing w:after="60" w:line="360"/>
        <w:jc w:val="both"/>
      </w:pPr>
      <w:r>
        <w:rPr>
          <w:rFonts w:ascii="Arial" w:cs="Arial" w:eastAsia="Arial" w:hAnsi="Arial"/>
          <w:sz w:val="22"/>
          <w:szCs w:val="22"/>
        </w:rPr>
        <w:t xml:space="preserve">SHA256 (certutil): verificación de integridad de documentos entre subida y descarga (CP008).</w:t>
      </w:r>
    </w:p>
    <w:p>
      <w:pPr>
        <w:spacing w:after="120" w:line="360"/>
        <w:jc w:val="both"/>
      </w:pPr>
      <w:r>
        <w:rPr>
          <w:rFonts w:ascii="Arial" w:cs="Arial" w:eastAsia="Arial" w:hAnsi="Arial"/>
          <w:sz w:val="22"/>
          <w:szCs w:val="22"/>
        </w:rPr>
        <w:t xml:space="preserve">Recursos humanos: el equipo asumió los roles de Líder QA (coordinación y diseño de casos), Ejecutor (ejecución y registro), Responsable de evidencia (captura y archivo) y Relator (bitácora e informe), distribuidos entre Benjamín Ibáñez y Gerardo Vera.</w:t>
      </w:r>
    </w:p>
    <w:p>
      <w:pPr>
        <w:spacing w:after="120" w:line="360"/>
        <w:jc w:val="both"/>
      </w:pPr>
      <w:r>
        <w:rPr>
          <w:rFonts w:ascii="Arial" w:cs="Arial" w:eastAsia="Arial" w:hAnsi="Arial"/>
          <w:sz w:val="22"/>
          <w:szCs w:val="22"/>
        </w:rPr>
        <w:t xml:space="preserve">Recursos técnicos y entorno: tres contenedores Docker en equipo local — frontend (http://localhost:3333), backend/API (http://localhost:4444, Swagger en /docs) y PostgreSQL 15 (puerto 15442) — con datos sintéticos; navegador Chrome; código fuente del caso en el repositorio del equipo.</w:t>
      </w:r>
    </w:p>
    <w:p>
      <w:pPr>
        <w:spacing w:after="120" w:line="360"/>
        <w:jc w:val="both"/>
      </w:pPr>
      <w:r>
        <w:rPr>
          <w:rFonts w:ascii="Arial" w:cs="Arial" w:eastAsia="Arial" w:hAnsi="Arial"/>
          <w:sz w:val="22"/>
          <w:szCs w:val="22"/>
        </w:rPr>
        <w:t xml:space="preserve">Plan de avance (cronograma ejecutado):</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1600"/>
        <w:gridCol w:w="3920"/>
      </w:tblGrid>
      <w:tr>
        <w:trPr>
          <w:tblHeader/>
        </w:trPr>
        <w:tc>
          <w:tcPr>
            <w:tcW w:type="dxa" w:w="38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Actividad</w:t>
            </w:r>
          </w:p>
        </w:tc>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Responsable</w:t>
            </w:r>
          </w:p>
        </w:tc>
        <w:tc>
          <w:tcPr>
            <w:tcW w:type="dxa" w:w="16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Fecha</w:t>
            </w:r>
          </w:p>
        </w:tc>
        <w:tc>
          <w:tcPr>
            <w:tcW w:type="dxa" w:w="392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Evidencia</w:t>
            </w:r>
          </w:p>
        </w:tc>
      </w:tr>
      <w:tr>
        <w:tc>
          <w:tcPr>
            <w:tcW w:type="dxa" w:w="38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Levantar y reconocer el sistema</w:t>
            </w:r>
          </w:p>
        </w:tc>
        <w:tc>
          <w:tcPr>
            <w:tcW w:type="dxa" w:w="22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Benjamín Ibáñez</w:t>
            </w:r>
          </w:p>
        </w:tc>
        <w:tc>
          <w:tcPr>
            <w:tcW w:type="dxa" w:w="1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22-09-2026</w:t>
            </w:r>
          </w:p>
        </w:tc>
        <w:tc>
          <w:tcPr>
            <w:tcW w:type="dxa" w:w="39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Contenedores Docker levantados</w:t>
            </w:r>
          </w:p>
        </w:tc>
      </w:tr>
      <w:tr>
        <w:tc>
          <w:tcPr>
            <w:tcW w:type="dxa" w:w="38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Definir alcance y requisitos</w:t>
            </w:r>
          </w:p>
        </w:tc>
        <w:tc>
          <w:tcPr>
            <w:tcW w:type="dxa" w:w="22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Ambos</w:t>
            </w:r>
          </w:p>
        </w:tc>
        <w:tc>
          <w:tcPr>
            <w:tcW w:type="dxa" w:w="1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23-09-2026</w:t>
            </w:r>
          </w:p>
        </w:tc>
        <w:tc>
          <w:tcPr>
            <w:tcW w:type="dxa" w:w="39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Secciones de objetivo y requisitos del Plan Maestro</w:t>
            </w:r>
          </w:p>
        </w:tc>
      </w:tr>
      <w:tr>
        <w:tc>
          <w:tcPr>
            <w:tcW w:type="dxa" w:w="38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Diseñar estrategia y riesgos</w:t>
            </w:r>
          </w:p>
        </w:tc>
        <w:tc>
          <w:tcPr>
            <w:tcW w:type="dxa" w:w="22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Gerardo Vera</w:t>
            </w:r>
          </w:p>
        </w:tc>
        <w:tc>
          <w:tcPr>
            <w:tcW w:type="dxa" w:w="1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24-09-2026</w:t>
            </w:r>
          </w:p>
        </w:tc>
        <w:tc>
          <w:tcPr>
            <w:tcW w:type="dxa" w:w="39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Matriz de riesgos y tabla de estrategia</w:t>
            </w:r>
          </w:p>
        </w:tc>
      </w:tr>
      <w:tr>
        <w:tc>
          <w:tcPr>
            <w:tcW w:type="dxa" w:w="38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Diseñar casos iniciales (CP001–CP008)</w:t>
            </w:r>
          </w:p>
        </w:tc>
        <w:tc>
          <w:tcPr>
            <w:tcW w:type="dxa" w:w="22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Ambos</w:t>
            </w:r>
          </w:p>
        </w:tc>
        <w:tc>
          <w:tcPr>
            <w:tcW w:type="dxa" w:w="1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29-09-2026</w:t>
            </w:r>
          </w:p>
        </w:tc>
        <w:tc>
          <w:tcPr>
            <w:tcW w:type="dxa" w:w="39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Guía 2.2 y Sección 7 del Plan Maestro</w:t>
            </w:r>
          </w:p>
        </w:tc>
      </w:tr>
      <w:tr>
        <w:tc>
          <w:tcPr>
            <w:tcW w:type="dxa" w:w="38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Ejecutar CP001–CP004 con evidencia</w:t>
            </w:r>
          </w:p>
        </w:tc>
        <w:tc>
          <w:tcPr>
            <w:tcW w:type="dxa" w:w="22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Benjamín Ibáñez</w:t>
            </w:r>
          </w:p>
        </w:tc>
        <w:tc>
          <w:tcPr>
            <w:tcW w:type="dxa" w:w="1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06-10-2026</w:t>
            </w:r>
          </w:p>
        </w:tc>
        <w:tc>
          <w:tcPr>
            <w:tcW w:type="dxa" w:w="39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Bitácora 2.3 y capturas Pass</w:t>
            </w:r>
          </w:p>
        </w:tc>
      </w:tr>
      <w:tr>
        <w:tc>
          <w:tcPr>
            <w:tcW w:type="dxa" w:w="38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Ejecutar CP005–CP008 con evidencia</w:t>
            </w:r>
          </w:p>
        </w:tc>
        <w:tc>
          <w:tcPr>
            <w:tcW w:type="dxa" w:w="22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Benjamín Ibáñez</w:t>
            </w:r>
          </w:p>
        </w:tc>
        <w:tc>
          <w:tcPr>
            <w:tcW w:type="dxa" w:w="1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16-10-2026</w:t>
            </w:r>
          </w:p>
        </w:tc>
        <w:tc>
          <w:tcPr>
            <w:tcW w:type="dxa" w:w="39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Resumen de ejecución y JSON de respuestas</w:t>
            </w:r>
          </w:p>
        </w:tc>
      </w:tr>
      <w:tr>
        <w:tc>
          <w:tcPr>
            <w:tcW w:type="dxa" w:w="38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Análisis estático SonarQube</w:t>
            </w:r>
          </w:p>
        </w:tc>
        <w:tc>
          <w:tcPr>
            <w:tcW w:type="dxa" w:w="22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Benjamín Ibáñez</w:t>
            </w:r>
          </w:p>
        </w:tc>
        <w:tc>
          <w:tcPr>
            <w:tcW w:type="dxa" w:w="1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16-10-2026</w:t>
            </w:r>
          </w:p>
        </w:tc>
        <w:tc>
          <w:tcPr>
            <w:tcW w:type="dxa" w:w="39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Log del escáner, métricas y issues</w:t>
            </w:r>
          </w:p>
        </w:tc>
      </w:tr>
      <w:tr>
        <w:tc>
          <w:tcPr>
            <w:tcW w:type="dxa" w:w="38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Revisión y consolidación de este informe</w:t>
            </w:r>
          </w:p>
        </w:tc>
        <w:tc>
          <w:tcPr>
            <w:tcW w:type="dxa" w:w="22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Ambos</w:t>
            </w:r>
          </w:p>
        </w:tc>
        <w:tc>
          <w:tcPr>
            <w:tcW w:type="dxa" w:w="1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20-10-2026</w:t>
            </w:r>
          </w:p>
        </w:tc>
        <w:tc>
          <w:tcPr>
            <w:tcW w:type="dxa" w:w="39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Informe EP3</w:t>
            </w:r>
          </w:p>
        </w:tc>
      </w:tr>
    </w:tbl>
    <w:p>
      <w:r>
        <w:br w:type="page"/>
      </w:r>
    </w:p>
    <w:p>
      <w:pPr>
        <w:pStyle w:val="Heading1"/>
        <w:spacing w:after="120" w:before="240" w:line="360"/>
      </w:pPr>
      <w:r>
        <w:rPr>
          <w:rFonts w:ascii="Arial" w:cs="Arial" w:eastAsia="Arial" w:hAnsi="Arial"/>
          <w:b/>
          <w:bCs/>
          <w:color w:val="000000"/>
          <w:sz w:val="24"/>
          <w:szCs w:val="24"/>
        </w:rPr>
        <w:t xml:space="preserve">4. Diseño de casos de prueba</w:t>
      </w:r>
    </w:p>
    <w:p>
      <w:pPr>
        <w:spacing w:after="120" w:line="360"/>
        <w:jc w:val="both"/>
      </w:pPr>
      <w:r>
        <w:rPr>
          <w:rFonts w:ascii="Arial" w:cs="Arial" w:eastAsia="Arial" w:hAnsi="Arial"/>
          <w:sz w:val="22"/>
          <w:szCs w:val="22"/>
        </w:rPr>
        <w:t xml:space="preserve">Los casos fueron diseñados con la técnica de partición de equivalencia y valores límite, seleccionada porque el módulo de registro de pacientes es un formulario con rangos y formatos (nombre y apellido de 2 a 50 letras, RUT con formato, email válido de hasta 255 caracteres, fecha no futura, sexo M/F/O), y se complementó con casos de seguridad sobre sesión y control de acceso. Fuente de las reglas: BACKEND/src/validations/pacientes.js. A continuación se documentan los 8 casos representativos de los distintos tipos de requerimientos del ERS:</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200"/>
        <w:gridCol w:w="9320"/>
      </w:tblGrid>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ID</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CP001</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NOMBRE</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Registro válido de paciente</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REQUERIMIENTO</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RQ-07 (RF-2)</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DESCRIPCIÓN</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Demostrar que un médico puede registrar un paciente con datos válidos y que el sistema lo guarda, lo lista y deja auditoría.</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PRECONDICIONES</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Docker levantado (backend 4444, frontend 3333). Sesión iniciada como médico (token válido). RUT y email no registrados previamente.</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PASOS</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 Ir a Pacientes &gt; Crear (o POST /pacientes).</w:t>
            </w:r>
          </w:p>
          <w:p>
            <w:pPr>
              <w:spacing w:line="276"/>
              <w:jc w:val="both"/>
            </w:pPr>
            <w:r>
              <w:rPr>
                <w:rFonts w:ascii="Arial" w:cs="Arial" w:eastAsia="Arial" w:hAnsi="Arial"/>
                <w:b w:val="false"/>
                <w:bCs w:val="false"/>
                <w:sz w:val="20"/>
                <w:szCs w:val="20"/>
              </w:rPr>
              <w:t xml:space="preserve">2. Ingresar RUT 12.345.678-9, primer nombre Juan, apellido Pérez, email juan@test.cl, fecha 2000-01-01, sexo M.</w:t>
            </w:r>
          </w:p>
          <w:p>
            <w:pPr>
              <w:spacing w:line="276"/>
              <w:jc w:val="both"/>
            </w:pPr>
            <w:r>
              <w:rPr>
                <w:rFonts w:ascii="Arial" w:cs="Arial" w:eastAsia="Arial" w:hAnsi="Arial"/>
                <w:b w:val="false"/>
                <w:bCs w:val="false"/>
                <w:sz w:val="20"/>
                <w:szCs w:val="20"/>
              </w:rPr>
              <w:t xml:space="preserve">3. Guardar.</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RESULTADO ESPERADO</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sistema crea el paciente con 201, lo muestra en el listado y genera registro de auditoría PACIENTES_CREAR.</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CRITERIO DE ACEPTACIÓN</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Respuesta 201; fila visible en Gestión de Pacientes; auditoría registrada; ningún mensaje de validación.</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DATOS DE PRUEBA</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RUT 12.345.678-9; Juan Pérez; juan@test.cl; 2000-01-01; sexo M.</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TIPO DE PRUEBA</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Funcional (positivo)</w:t>
            </w:r>
          </w:p>
        </w:tc>
      </w:tr>
    </w:tbl>
    <w:p>
      <w:pPr>
        <w:spacing w:after="16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200"/>
        <w:gridCol w:w="9320"/>
      </w:tblGrid>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ID</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CP002</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NOMBRE</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Email sin formato válido</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REQUERIMIENTO</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RQ-07 (RF-2)</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DESCRIPCIÓN</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Demostrar que el sistema rechaza un registro con email inválido (sin @) y no guarda datos.</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PRECONDICIONES</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Docker levantado. Sesión iniciada como médico.</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PASOS</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 Ir a Pacientes &gt; Crear.</w:t>
            </w:r>
          </w:p>
          <w:p>
            <w:pPr>
              <w:spacing w:line="276"/>
              <w:jc w:val="both"/>
            </w:pPr>
            <w:r>
              <w:rPr>
                <w:rFonts w:ascii="Arial" w:cs="Arial" w:eastAsia="Arial" w:hAnsi="Arial"/>
                <w:b w:val="false"/>
                <w:bCs w:val="false"/>
                <w:sz w:val="20"/>
                <w:szCs w:val="20"/>
              </w:rPr>
              <w:t xml:space="preserve">2. Ingresar RUT 9.876.543-2 (válido), nombre Juan, apellido Pérez, email "correosinarroba" (sin @), fecha 2000-01-01, sexo M.</w:t>
            </w:r>
          </w:p>
          <w:p>
            <w:pPr>
              <w:spacing w:line="276"/>
              <w:jc w:val="both"/>
            </w:pPr>
            <w:r>
              <w:rPr>
                <w:rFonts w:ascii="Arial" w:cs="Arial" w:eastAsia="Arial" w:hAnsi="Arial"/>
                <w:b w:val="false"/>
                <w:bCs w:val="false"/>
                <w:sz w:val="20"/>
                <w:szCs w:val="20"/>
              </w:rPr>
              <w:t xml:space="preserve">3. Guardar.</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RESULTADO ESPERADO</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sistema responde 400 con detalle en el campo email ("El email debe tener un formato válido") y no guarda el paciente.</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CRITERIO DE ACEPTACIÓN</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Respuesta 400; mensaje de validación visible en el formulario; la lista de pacientes no agrega filas.</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DATOS DE PRUEBA</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RUT 9.876.543-2; email correosinarroba.</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TIPO DE PRUEBA</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Funcional (negativo)</w:t>
            </w:r>
          </w:p>
        </w:tc>
      </w:tr>
    </w:tbl>
    <w:p>
      <w:pPr>
        <w:spacing w:after="16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200"/>
        <w:gridCol w:w="9320"/>
      </w:tblGrid>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ID</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CP003</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NOMBRE</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Registro duplicado (RUT y email existentes)</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REQUERIMIENTO</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RQ-07 (RF-2)</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DESCRIPCIÓN</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Demostrar que el sistema rechaza el registro de un paciente cuyo RUT y email ya existen.</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PRECONDICIONES</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Docker levantado. Sesión iniciada como médico. RUT y email del CP001 ya registrados.</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PASOS</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 Ir a Pacientes &gt; Crear.</w:t>
            </w:r>
          </w:p>
          <w:p>
            <w:pPr>
              <w:spacing w:line="276"/>
              <w:jc w:val="both"/>
            </w:pPr>
            <w:r>
              <w:rPr>
                <w:rFonts w:ascii="Arial" w:cs="Arial" w:eastAsia="Arial" w:hAnsi="Arial"/>
                <w:b w:val="false"/>
                <w:bCs w:val="false"/>
                <w:sz w:val="20"/>
                <w:szCs w:val="20"/>
              </w:rPr>
              <w:t xml:space="preserve">2. Ingresar el mismo RUT y email del CP001.</w:t>
            </w:r>
          </w:p>
          <w:p>
            <w:pPr>
              <w:spacing w:line="276"/>
              <w:jc w:val="both"/>
            </w:pPr>
            <w:r>
              <w:rPr>
                <w:rFonts w:ascii="Arial" w:cs="Arial" w:eastAsia="Arial" w:hAnsi="Arial"/>
                <w:b w:val="false"/>
                <w:bCs w:val="false"/>
                <w:sz w:val="20"/>
                <w:szCs w:val="20"/>
              </w:rPr>
              <w:t xml:space="preserve">3. Guardar.</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RESULTADO ESPERADO</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sistema responde 400 indicando que el RUT o email ya existe, sin agregar filas al listado.</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CRITERIO DE ACEPTACIÓN</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Respuesta 400 por duplicado; el listado mantiene la misma cantidad de filas.</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DATOS DE PRUEBA</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RUT 12.345.678-9 y juan@test.cl (del CP001).</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TIPO DE PRUEBA</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Funcional (negativo)</w:t>
            </w:r>
          </w:p>
        </w:tc>
      </w:tr>
    </w:tbl>
    <w:p>
      <w:pPr>
        <w:spacing w:after="16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200"/>
        <w:gridCol w:w="9320"/>
      </w:tblGrid>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ID</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CP004</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NOMBRE</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Borde: nombre de 1 letra (mínimo 2)</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REQUERIMIENTO</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RQ-07 (RF-2)</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DESCRIPCIÓN</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Demostrar que el sistema valida el largo mínimo del primer nombre (2 caracteres) en el borde inferior.</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PRECONDICIONES</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Docker levantado. Sesión iniciada como médico.</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PASOS</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 Ir a Pacientes &gt; Crear.</w:t>
            </w:r>
          </w:p>
          <w:p>
            <w:pPr>
              <w:spacing w:line="276"/>
              <w:jc w:val="both"/>
            </w:pPr>
            <w:r>
              <w:rPr>
                <w:rFonts w:ascii="Arial" w:cs="Arial" w:eastAsia="Arial" w:hAnsi="Arial"/>
                <w:b w:val="false"/>
                <w:bCs w:val="false"/>
                <w:sz w:val="20"/>
                <w:szCs w:val="20"/>
              </w:rPr>
              <w:t xml:space="preserve">2. Ingresar RUT 19.123.456-7, primer nombre "A" (1 letra), apellido Pérez, email juan@test.cl, fecha 2000-01-01, sexo F.</w:t>
            </w:r>
          </w:p>
          <w:p>
            <w:pPr>
              <w:spacing w:line="276"/>
              <w:jc w:val="both"/>
            </w:pPr>
            <w:r>
              <w:rPr>
                <w:rFonts w:ascii="Arial" w:cs="Arial" w:eastAsia="Arial" w:hAnsi="Arial"/>
                <w:b w:val="false"/>
                <w:bCs w:val="false"/>
                <w:sz w:val="20"/>
                <w:szCs w:val="20"/>
              </w:rPr>
              <w:t xml:space="preserve">3. Guardar.</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RESULTADO ESPERADO</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sistema responde 400 con detalle en primer_nombre (mínimo 2) y no guarda el paciente.</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CRITERIO DE ACEPTACIÓN</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Respuesta 400; campo marcado con detalle específico; no se crea la fila.</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DATOS DE PRUEBA</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Primer nombre "A" (borde inferior); RUT 19.123.456-7; juan@test.cl; sexo F.</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TIPO DE PRUEBA</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Funcional (borde)</w:t>
            </w:r>
          </w:p>
        </w:tc>
      </w:tr>
    </w:tbl>
    <w:p>
      <w:pPr>
        <w:spacing w:after="16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200"/>
        <w:gridCol w:w="9320"/>
      </w:tblGrid>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ID</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CP005</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NOMBRE</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Autenticación exitosa y uso del token</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REQUERIMIENTO</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RQ-01 (RF-1.1, NFR-SEG-9)</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DESCRIPCIÓN</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Demostrar que un usuario registrado puede autenticarse y que el token JWT emitido es válido para consumir la API.</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PRECONDICIONES</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Docker levantado. Usuario médico registrado con credenciales conocidas.</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PASOS</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 Enviar POST /autenticacion/login con usuario y contraseña del usuario de prueba.</w:t>
            </w:r>
          </w:p>
          <w:p>
            <w:pPr>
              <w:spacing w:line="276"/>
              <w:jc w:val="both"/>
            </w:pPr>
            <w:r>
              <w:rPr>
                <w:rFonts w:ascii="Arial" w:cs="Arial" w:eastAsia="Arial" w:hAnsi="Arial"/>
                <w:b w:val="false"/>
                <w:bCs w:val="false"/>
                <w:sz w:val="20"/>
                <w:szCs w:val="20"/>
              </w:rPr>
              <w:t xml:space="preserve">2. Usar el token recibido en el header Authorization para GET /pacientes.</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RESULTADO ESPERADO</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login responde 200 con token JWT que incluye el rol; el listado de pacientes responde 200 con el token.</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CRITERIO DE ACEPTACIÓN</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Respuesta 200 en ambas llamadas; token decodificable con rol correcto; auditoría de login generada.</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DATOS DE PRUEBA</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Usuario médico de prueba (credenciales del entorno Docker).</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TIPO DE PRUEBA</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Seguridad (positivo)</w:t>
            </w:r>
          </w:p>
        </w:tc>
      </w:tr>
    </w:tbl>
    <w:p>
      <w:pPr>
        <w:spacing w:after="16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200"/>
        <w:gridCol w:w="9320"/>
      </w:tblGrid>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ID</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CP006</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NOMBRE</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Reutilización del token tras cerrar sesión</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REQUERIMIENTO</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RQ-01 (RF-1.2, NFR-SEG-9)</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DESCRIPCIÓN</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Demostrar que tras cerrar sesión el token queda revocado y no puede reutilizarse.</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PRECONDICIONES</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Docker levantado. Sesión iniciada con token válido emitido por login.</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PASOS</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 Login válido y obtención del token.</w:t>
            </w:r>
          </w:p>
          <w:p>
            <w:pPr>
              <w:spacing w:line="276"/>
              <w:jc w:val="both"/>
            </w:pPr>
            <w:r>
              <w:rPr>
                <w:rFonts w:ascii="Arial" w:cs="Arial" w:eastAsia="Arial" w:hAnsi="Arial"/>
                <w:b w:val="false"/>
                <w:bCs w:val="false"/>
                <w:sz w:val="20"/>
                <w:szCs w:val="20"/>
              </w:rPr>
              <w:t xml:space="preserve">2. Cerrar sesión desde la interfaz.</w:t>
            </w:r>
          </w:p>
          <w:p>
            <w:pPr>
              <w:spacing w:line="276"/>
              <w:jc w:val="both"/>
            </w:pPr>
            <w:r>
              <w:rPr>
                <w:rFonts w:ascii="Arial" w:cs="Arial" w:eastAsia="Arial" w:hAnsi="Arial"/>
                <w:b w:val="false"/>
                <w:bCs w:val="false"/>
                <w:sz w:val="20"/>
                <w:szCs w:val="20"/>
              </w:rPr>
              <w:t xml:space="preserve">3. Reintentar el token previo contra un endpoint protegido con Postman.</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RESULTADO ESPERADO</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sistema responde 401 Unauthorized: el token ya no es válido tras el cierre de sesión.</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CRITERIO DE ACEPTACIÓN</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Respuesta 401 al reusar el token; ningún endpoint acepta la sesión revocada.</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DATOS DE PRUEBA</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Token JWT emitido en el paso 1.</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TIPO DE PRUEBA</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Seguridad (negativo)</w:t>
            </w:r>
          </w:p>
        </w:tc>
      </w:tr>
    </w:tbl>
    <w:p>
      <w:pPr>
        <w:spacing w:after="16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200"/>
        <w:gridCol w:w="9320"/>
      </w:tblGrid>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ID</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CP007</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NOMBRE</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Paciente intenta editar un examen (RBAC)</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REQUERIMIENTO</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RQ-02 (RB-1, NFR-SEG-4)</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DESCRIPCIÓN</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Demostrar que el control de acceso por rol impide a una paciente modificar un examen médico.</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PRECONDICIONES</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Docker levantado. Usuario paciente registrado. Examen existente con ID conocido.</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PASOS</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 Login como paciente.</w:t>
            </w:r>
          </w:p>
          <w:p>
            <w:pPr>
              <w:spacing w:line="276"/>
              <w:jc w:val="both"/>
            </w:pPr>
            <w:r>
              <w:rPr>
                <w:rFonts w:ascii="Arial" w:cs="Arial" w:eastAsia="Arial" w:hAnsi="Arial"/>
                <w:b w:val="false"/>
                <w:bCs w:val="false"/>
                <w:sz w:val="20"/>
                <w:szCs w:val="20"/>
              </w:rPr>
              <w:t xml:space="preserve">2. Enviar PUT /examenes/{id} con datos modificados usando el token de paciente.</w:t>
            </w:r>
          </w:p>
          <w:p>
            <w:pPr>
              <w:spacing w:line="276"/>
              <w:jc w:val="both"/>
            </w:pPr>
            <w:r>
              <w:rPr>
                <w:rFonts w:ascii="Arial" w:cs="Arial" w:eastAsia="Arial" w:hAnsi="Arial"/>
                <w:b w:val="false"/>
                <w:bCs w:val="false"/>
                <w:sz w:val="20"/>
                <w:szCs w:val="20"/>
              </w:rPr>
              <w:t xml:space="preserve">3. Verificar la base de datos.</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RESULTADO ESPERADO</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sistema responde 403 Forbidden y la base de datos no registra cambios en el examen.</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CRITERIO DE ACEPTACIÓN</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Respuesta 403; verificación directa en PostgreSQL: sin cambios en la fila del examen.</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DATOS DE PRUEBA</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Token de rol paciente; PUT con datos de examen modificados.</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TIPO DE PRUEBA</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Seguridad / RBAC</w:t>
            </w:r>
          </w:p>
        </w:tc>
      </w:tr>
    </w:tbl>
    <w:p>
      <w:pPr>
        <w:spacing w:after="16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200"/>
        <w:gridCol w:w="9320"/>
      </w:tblGrid>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ID</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CP008</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NOMBRE</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Carga y descarga de documento (integridad)</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REQUERIMIENTO</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RQ-03 (RF-4.2, RF-4.3)</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DESCRIPCIÓN</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Demostrar que un documento de examen se carga y descarga íntegro dentro del tiempo exigido.</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PRECONDICIONES</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Docker levantado. Sesión como médico. Examen existente. Archivo de prueba disponible (formato permitido, bajo 10 MB).</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PASOS</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 Adjuntar el documento al examen (subida).</w:t>
            </w:r>
          </w:p>
          <w:p>
            <w:pPr>
              <w:spacing w:line="276"/>
              <w:jc w:val="both"/>
            </w:pPr>
            <w:r>
              <w:rPr>
                <w:rFonts w:ascii="Arial" w:cs="Arial" w:eastAsia="Arial" w:hAnsi="Arial"/>
                <w:b w:val="false"/>
                <w:bCs w:val="false"/>
                <w:sz w:val="20"/>
                <w:szCs w:val="20"/>
              </w:rPr>
              <w:t xml:space="preserve">2. Entrar a Mis exámenes y descargar el documento.</w:t>
            </w:r>
          </w:p>
          <w:p>
            <w:pPr>
              <w:spacing w:line="276"/>
              <w:jc w:val="both"/>
            </w:pPr>
            <w:r>
              <w:rPr>
                <w:rFonts w:ascii="Arial" w:cs="Arial" w:eastAsia="Arial" w:hAnsi="Arial"/>
                <w:b w:val="false"/>
                <w:bCs w:val="false"/>
                <w:sz w:val="20"/>
                <w:szCs w:val="20"/>
              </w:rPr>
              <w:t xml:space="preserve">3. Calcular SHA256 del archivo original y del descargado.</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RESULTADO ESPERADO</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Subida 201 y descarga 200 con el archivo íntegro y legible en menos de 10 segundos (considerando el retardo de 5 s de los endpoints).</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CRITERIO DE ACEPTACIÓN</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Hash SHA256 idéntico entre original y descarga; tiempo total bajo 10 s; archivo legible.</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DATOS DE PRUEBA</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Documento PDF de prueba; hash SHA256 del original.</w:t>
            </w:r>
          </w:p>
        </w:tc>
      </w:tr>
      <w:tr>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TIPO DE PRUEBA</w:t>
            </w:r>
          </w:p>
        </w:tc>
        <w:tc>
          <w:tcPr>
            <w:tcW w:type="dxa" w:w="9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Funcional / integridad</w:t>
            </w:r>
          </w:p>
        </w:tc>
      </w:tr>
    </w:tbl>
    <w:p>
      <w:pPr>
        <w:spacing w:after="160"/>
      </w:pPr>
    </w:p>
    <w:p>
      <w:r>
        <w:br w:type="page"/>
      </w:r>
    </w:p>
    <w:p>
      <w:pPr>
        <w:pStyle w:val="Heading1"/>
        <w:spacing w:after="120" w:before="240" w:line="360"/>
      </w:pPr>
      <w:r>
        <w:rPr>
          <w:rFonts w:ascii="Arial" w:cs="Arial" w:eastAsia="Arial" w:hAnsi="Arial"/>
          <w:b/>
          <w:bCs/>
          <w:color w:val="000000"/>
          <w:sz w:val="24"/>
          <w:szCs w:val="24"/>
        </w:rPr>
        <w:t xml:space="preserve">5. Ejecución de pruebas</w:t>
      </w:r>
    </w:p>
    <w:p>
      <w:pPr>
        <w:pStyle w:val="Heading2"/>
        <w:spacing w:after="100" w:before="200" w:line="360"/>
      </w:pPr>
      <w:r>
        <w:rPr>
          <w:rFonts w:ascii="Arial" w:cs="Arial" w:eastAsia="Arial" w:hAnsi="Arial"/>
          <w:b/>
          <w:bCs/>
          <w:color w:val="000000"/>
          <w:sz w:val="24"/>
          <w:szCs w:val="24"/>
        </w:rPr>
        <w:t xml:space="preserve">5.1 Resumen de ejecución</w:t>
      </w:r>
    </w:p>
    <w:p>
      <w:pPr>
        <w:spacing w:after="120" w:line="360"/>
        <w:jc w:val="both"/>
      </w:pPr>
      <w:r>
        <w:rPr>
          <w:rFonts w:ascii="Arial" w:cs="Arial" w:eastAsia="Arial" w:hAnsi="Arial"/>
          <w:sz w:val="22"/>
          <w:szCs w:val="22"/>
        </w:rPr>
        <w:t xml:space="preserve">Se ejecutó la totalidad del plan de pruebas semestral en el entorno Docker del caso: los 8 casos de prueba diseñados fueron ejecutados (4 el 06-10-2026 y 4 el 16-10-2026), con 7 aprobados y 1 fallido (CP006). El fallo corresponde a un defecto real del sistema (H-02: no existe revocación de sesión), no a un error de la prueba. Adicionalmente se ejecutó el análisis estático automatizado con SonarQube Community 9.9.8 sobre las 10.133 líneas de código del repositorio, con Quality Gate OK, 73 issues (1 bug, 72 code smells de los cuales 8 críticos, 0 vulnerabilidades), 3 security hotspots, 14,5% de duplicación, deuda técnica de 465 minutos y 0% de cobertura por ausencia de reportes LCOV.</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000"/>
        <w:gridCol w:w="1900"/>
        <w:gridCol w:w="1800"/>
        <w:gridCol w:w="2020"/>
      </w:tblGrid>
      <w:tr>
        <w:trPr>
          <w:tblHeader/>
        </w:trPr>
        <w:tc>
          <w:tcPr>
            <w:tcW w:type="dxa" w:w="19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Diseñados</w:t>
            </w:r>
          </w:p>
        </w:tc>
        <w:tc>
          <w:tcPr>
            <w:tcW w:type="dxa" w:w="19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Ejecutados</w:t>
            </w:r>
          </w:p>
        </w:tc>
        <w:tc>
          <w:tcPr>
            <w:tcW w:type="dxa" w:w="20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Aprobados (Pass)</w:t>
            </w:r>
          </w:p>
        </w:tc>
        <w:tc>
          <w:tcPr>
            <w:tcW w:type="dxa" w:w="19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Fallidos (Fail)</w:t>
            </w:r>
          </w:p>
        </w:tc>
        <w:tc>
          <w:tcPr>
            <w:tcW w:type="dxa" w:w="18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Bloqueados</w:t>
            </w:r>
          </w:p>
        </w:tc>
        <w:tc>
          <w:tcPr>
            <w:tcW w:type="dxa" w:w="202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Pendientes</w:t>
            </w:r>
          </w:p>
        </w:tc>
      </w:tr>
      <w:tr>
        <w:tc>
          <w:tcPr>
            <w:tcW w:type="dxa" w:w="1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8</w:t>
            </w:r>
          </w:p>
        </w:tc>
        <w:tc>
          <w:tcPr>
            <w:tcW w:type="dxa" w:w="1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8</w:t>
            </w:r>
          </w:p>
        </w:tc>
        <w:tc>
          <w:tcPr>
            <w:tcW w:type="dxa" w:w="20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7</w:t>
            </w:r>
          </w:p>
        </w:tc>
        <w:tc>
          <w:tcPr>
            <w:tcW w:type="dxa" w:w="1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w:t>
            </w:r>
          </w:p>
        </w:tc>
        <w:tc>
          <w:tcPr>
            <w:tcW w:type="dxa" w:w="18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0</w:t>
            </w:r>
          </w:p>
        </w:tc>
        <w:tc>
          <w:tcPr>
            <w:tcW w:type="dxa" w:w="20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0</w:t>
            </w:r>
          </w:p>
        </w:tc>
      </w:tr>
    </w:tbl>
    <w:p>
      <w:pPr>
        <w:pStyle w:val="Heading2"/>
        <w:spacing w:after="100" w:before="200" w:line="360"/>
      </w:pPr>
      <w:r>
        <w:rPr>
          <w:rFonts w:ascii="Arial" w:cs="Arial" w:eastAsia="Arial" w:hAnsi="Arial"/>
          <w:b/>
          <w:bCs/>
          <w:color w:val="000000"/>
          <w:sz w:val="24"/>
          <w:szCs w:val="24"/>
        </w:rPr>
        <w:t xml:space="preserve">5.2 Detalle de ejecución de casos</w:t>
      </w:r>
    </w:p>
    <w:p>
      <w:pPr>
        <w:spacing w:after="120" w:line="360"/>
        <w:jc w:val="both"/>
      </w:pPr>
      <w:r>
        <w:rPr>
          <w:rFonts w:ascii="Arial" w:cs="Arial" w:eastAsia="Arial" w:hAnsi="Arial"/>
          <w:sz w:val="22"/>
          <w:szCs w:val="22"/>
        </w:rPr>
        <w:t xml:space="preserve">Detalle caso a caso. Ejecutor de todos los casos: Benjamín Ibáñez. Evidencias completas en Mis_Entregables/U2.3_Ejecucion/Evidencias (capturas de pantalla para CP001–CP004; respuestas de API en JSON/TXT/PDF para CP005–CP008; registros SonarQube).</w:t>
      </w:r>
    </w:p>
    <w:tbl>
      <w:tblPr>
        <w:tblW w:type="dxa" w:w="1052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900"/>
        <w:gridCol w:w="3300"/>
        <w:gridCol w:w="1600"/>
        <w:gridCol w:w="1120"/>
      </w:tblGrid>
      <w:tr>
        <w:trPr>
          <w:tblHeader/>
        </w:trPr>
        <w:tc>
          <w:tcPr>
            <w:tcW w:type="dxa" w:w="9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Caso</w:t>
            </w:r>
          </w:p>
        </w:tc>
        <w:tc>
          <w:tcPr>
            <w:tcW w:type="dxa" w:w="27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Descripción</w:t>
            </w:r>
          </w:p>
        </w:tc>
        <w:tc>
          <w:tcPr>
            <w:tcW w:type="dxa" w:w="9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Resultado</w:t>
            </w:r>
          </w:p>
        </w:tc>
        <w:tc>
          <w:tcPr>
            <w:tcW w:type="dxa" w:w="33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Evidencia</w:t>
            </w:r>
          </w:p>
        </w:tc>
        <w:tc>
          <w:tcPr>
            <w:tcW w:type="dxa" w:w="16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Tipo de prueba</w:t>
            </w:r>
          </w:p>
        </w:tc>
        <w:tc>
          <w:tcPr>
            <w:tcW w:type="dxa" w:w="112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Fecha</w:t>
            </w:r>
          </w:p>
        </w:tc>
      </w:tr>
      <w:tr>
        <w:tc>
          <w:tcPr>
            <w:tcW w:type="dxa" w:w="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CP001</w:t>
            </w:r>
          </w:p>
        </w:tc>
        <w:tc>
          <w:tcPr>
            <w:tcW w:type="dxa" w:w="27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Registro válido de paciente (201, aparece en listado, deja auditoría)</w:t>
            </w:r>
          </w:p>
        </w:tc>
        <w:tc>
          <w:tcPr>
            <w:tcW w:type="dxa" w:w="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Pass</w:t>
            </w:r>
          </w:p>
        </w:tc>
        <w:tc>
          <w:tcPr>
            <w:tcW w:type="dxa" w:w="33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Grupo1_CP001_Front_201_Pass.png</w:t>
            </w:r>
          </w:p>
        </w:tc>
        <w:tc>
          <w:tcPr>
            <w:tcW w:type="dxa" w:w="1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Funcional (positivo)</w:t>
            </w:r>
          </w:p>
        </w:tc>
        <w:tc>
          <w:tcPr>
            <w:tcW w:type="dxa" w:w="11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06-10-2026</w:t>
            </w:r>
          </w:p>
        </w:tc>
      </w:tr>
      <w:tr>
        <w:tc>
          <w:tcPr>
            <w:tcW w:type="dxa" w:w="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CP002</w:t>
            </w:r>
          </w:p>
        </w:tc>
        <w:tc>
          <w:tcPr>
            <w:tcW w:type="dxa" w:w="27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Email sin @ (400 con detalle en email, no guarda)</w:t>
            </w:r>
          </w:p>
        </w:tc>
        <w:tc>
          <w:tcPr>
            <w:tcW w:type="dxa" w:w="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Pass</w:t>
            </w:r>
          </w:p>
        </w:tc>
        <w:tc>
          <w:tcPr>
            <w:tcW w:type="dxa" w:w="33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Grupo1_CP002_Front_tooltip_Pass.png; Grupo1_CP002_Backend_400_Pass.png</w:t>
            </w:r>
          </w:p>
        </w:tc>
        <w:tc>
          <w:tcPr>
            <w:tcW w:type="dxa" w:w="1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Funcional (negativo)</w:t>
            </w:r>
          </w:p>
        </w:tc>
        <w:tc>
          <w:tcPr>
            <w:tcW w:type="dxa" w:w="11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06-10-2026</w:t>
            </w:r>
          </w:p>
        </w:tc>
      </w:tr>
      <w:tr>
        <w:tc>
          <w:tcPr>
            <w:tcW w:type="dxa" w:w="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CP003</w:t>
            </w:r>
          </w:p>
        </w:tc>
        <w:tc>
          <w:tcPr>
            <w:tcW w:type="dxa" w:w="27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Registro duplicado: mismo RUT y email del CP001 (400, sin fila nueva)</w:t>
            </w:r>
          </w:p>
        </w:tc>
        <w:tc>
          <w:tcPr>
            <w:tcW w:type="dxa" w:w="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Pass</w:t>
            </w:r>
          </w:p>
        </w:tc>
        <w:tc>
          <w:tcPr>
            <w:tcW w:type="dxa" w:w="33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Grupo1_CP003_Duplicado_400_Pass.png</w:t>
            </w:r>
          </w:p>
        </w:tc>
        <w:tc>
          <w:tcPr>
            <w:tcW w:type="dxa" w:w="1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Funcional (negativo)</w:t>
            </w:r>
          </w:p>
        </w:tc>
        <w:tc>
          <w:tcPr>
            <w:tcW w:type="dxa" w:w="11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06-10-2026</w:t>
            </w:r>
          </w:p>
        </w:tc>
      </w:tr>
      <w:tr>
        <w:tc>
          <w:tcPr>
            <w:tcW w:type="dxa" w:w="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CP004</w:t>
            </w:r>
          </w:p>
        </w:tc>
        <w:tc>
          <w:tcPr>
            <w:tcW w:type="dxa" w:w="27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Borde: primer nombre de 1 letra, mínimo 2 (400 con detalle)</w:t>
            </w:r>
          </w:p>
        </w:tc>
        <w:tc>
          <w:tcPr>
            <w:tcW w:type="dxa" w:w="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Pass</w:t>
            </w:r>
          </w:p>
        </w:tc>
        <w:tc>
          <w:tcPr>
            <w:tcW w:type="dxa" w:w="33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Grupo1_CP004_Front_borde_Pass.png; Grupo1_CP004_Backend_400_Pass.png</w:t>
            </w:r>
          </w:p>
        </w:tc>
        <w:tc>
          <w:tcPr>
            <w:tcW w:type="dxa" w:w="1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Funcional (borde)</w:t>
            </w:r>
          </w:p>
        </w:tc>
        <w:tc>
          <w:tcPr>
            <w:tcW w:type="dxa" w:w="11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06-10-2026</w:t>
            </w:r>
          </w:p>
        </w:tc>
      </w:tr>
      <w:tr>
        <w:tc>
          <w:tcPr>
            <w:tcW w:type="dxa" w:w="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CP005</w:t>
            </w:r>
          </w:p>
        </w:tc>
        <w:tc>
          <w:tcPr>
            <w:tcW w:type="dxa" w:w="27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Login con credenciales válidas: token JWT con rol y uso del token en la API</w:t>
            </w:r>
          </w:p>
        </w:tc>
        <w:tc>
          <w:tcPr>
            <w:tcW w:type="dxa" w:w="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Pass</w:t>
            </w:r>
          </w:p>
        </w:tc>
        <w:tc>
          <w:tcPr>
            <w:tcW w:type="dxa" w:w="33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Grupo1_CP005_Login_200.json; Grupo1_CP005_Uso_token_lista_pacientes_200.json</w:t>
            </w:r>
          </w:p>
        </w:tc>
        <w:tc>
          <w:tcPr>
            <w:tcW w:type="dxa" w:w="1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Seguridad (positivo)</w:t>
            </w:r>
          </w:p>
        </w:tc>
        <w:tc>
          <w:tcPr>
            <w:tcW w:type="dxa" w:w="11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16-10-2026</w:t>
            </w:r>
          </w:p>
        </w:tc>
      </w:tr>
      <w:tr>
        <w:tc>
          <w:tcPr>
            <w:tcW w:type="dxa" w:w="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CP006</w:t>
            </w:r>
          </w:p>
        </w:tc>
        <w:tc>
          <w:tcPr>
            <w:tcW w:type="dxa" w:w="27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Reutilización del token tras cerrar sesión (revocación)</w:t>
            </w:r>
          </w:p>
        </w:tc>
        <w:tc>
          <w:tcPr>
            <w:tcW w:type="dxa" w:w="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Fail</w:t>
            </w:r>
          </w:p>
        </w:tc>
        <w:tc>
          <w:tcPr>
            <w:tcW w:type="dxa" w:w="33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Grupo1_CP006_Reuso_token_tras_logout_200.json; Grupo1_CP006_Busqueda_logout.txt</w:t>
            </w:r>
          </w:p>
        </w:tc>
        <w:tc>
          <w:tcPr>
            <w:tcW w:type="dxa" w:w="1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Seguridad (negativo)</w:t>
            </w:r>
          </w:p>
        </w:tc>
        <w:tc>
          <w:tcPr>
            <w:tcW w:type="dxa" w:w="11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16-10-2026</w:t>
            </w:r>
          </w:p>
        </w:tc>
      </w:tr>
      <w:tr>
        <w:tc>
          <w:tcPr>
            <w:tcW w:type="dxa" w:w="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CP007</w:t>
            </w:r>
          </w:p>
        </w:tc>
        <w:tc>
          <w:tcPr>
            <w:tcW w:type="dxa" w:w="27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Rol paciente intenta editar un examen (esperado 403; 5.036 ms)</w:t>
            </w:r>
          </w:p>
        </w:tc>
        <w:tc>
          <w:tcPr>
            <w:tcW w:type="dxa" w:w="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Pass</w:t>
            </w:r>
          </w:p>
        </w:tc>
        <w:tc>
          <w:tcPr>
            <w:tcW w:type="dxa" w:w="33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Grupo1_CP007_PUT_403.json; Grupo1_CP007_Verificacion_BD_sin_cambios.txt</w:t>
            </w:r>
          </w:p>
        </w:tc>
        <w:tc>
          <w:tcPr>
            <w:tcW w:type="dxa" w:w="1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Seguridad / RBAC</w:t>
            </w:r>
          </w:p>
        </w:tc>
        <w:tc>
          <w:tcPr>
            <w:tcW w:type="dxa" w:w="11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16-10-2026</w:t>
            </w:r>
          </w:p>
        </w:tc>
      </w:tr>
      <w:tr>
        <w:tc>
          <w:tcPr>
            <w:tcW w:type="dxa" w:w="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CP008</w:t>
            </w:r>
          </w:p>
        </w:tc>
        <w:tc>
          <w:tcPr>
            <w:tcW w:type="dxa" w:w="27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Carga y descarga de documento (subida 5.050 ms, descarga 37 ms, SHA256 idéntico)</w:t>
            </w:r>
          </w:p>
        </w:tc>
        <w:tc>
          <w:tcPr>
            <w:tcW w:type="dxa" w:w="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Pass</w:t>
            </w:r>
          </w:p>
        </w:tc>
        <w:tc>
          <w:tcPr>
            <w:tcW w:type="dxa" w:w="33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Grupo1_CP008_Subida_documento_201.json; Grupo1_CP008_Descarga_documento_200.pdf; Grupo1_CP008_Integridad_y_tiempo.txt</w:t>
            </w:r>
          </w:p>
        </w:tc>
        <w:tc>
          <w:tcPr>
            <w:tcW w:type="dxa" w:w="1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Funcional / integridad</w:t>
            </w:r>
          </w:p>
        </w:tc>
        <w:tc>
          <w:tcPr>
            <w:tcW w:type="dxa" w:w="11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16-10-2026</w:t>
            </w:r>
          </w:p>
        </w:tc>
      </w:tr>
    </w:tbl>
    <w:p>
      <w:pPr>
        <w:pStyle w:val="Heading2"/>
        <w:spacing w:after="100" w:before="200" w:line="360"/>
      </w:pPr>
      <w:r>
        <w:rPr>
          <w:rFonts w:ascii="Arial" w:cs="Arial" w:eastAsia="Arial" w:hAnsi="Arial"/>
          <w:b/>
          <w:bCs/>
          <w:color w:val="000000"/>
          <w:sz w:val="24"/>
          <w:szCs w:val="24"/>
        </w:rPr>
        <w:t xml:space="preserve">5.3 Criticidad de incidentes</w:t>
      </w:r>
    </w:p>
    <w:p>
      <w:pPr>
        <w:spacing w:after="120" w:line="360"/>
        <w:jc w:val="both"/>
      </w:pPr>
      <w:r>
        <w:rPr>
          <w:rFonts w:ascii="Arial" w:cs="Arial" w:eastAsia="Arial" w:hAnsi="Arial"/>
          <w:sz w:val="22"/>
          <w:szCs w:val="22"/>
        </w:rPr>
        <w:t xml:space="preserve">La escala de criticidad se definió según el impacto real en el negocio del caso (sistema de salud): un problema que expone datos de salud o permite acceso indebido es crítico; una función importante afectada es grave; una función secundaria o degradación de experiencia es moderada; un defecto de apariencia o de divulgación menor es leve.</w:t>
      </w:r>
    </w:p>
    <w:tbl>
      <w:tblPr>
        <w:tblW w:type="dxa" w:w="1052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2700"/>
        <w:gridCol w:w="1820"/>
      </w:tblGrid>
      <w:tr>
        <w:trPr>
          <w:tblHeader/>
        </w:trPr>
        <w:tc>
          <w:tcPr>
            <w:tcW w:type="dxa" w:w="14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Nivel</w:t>
            </w:r>
          </w:p>
        </w:tc>
        <w:tc>
          <w:tcPr>
            <w:tcW w:type="dxa" w:w="46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Descripción</w:t>
            </w:r>
          </w:p>
        </w:tc>
        <w:tc>
          <w:tcPr>
            <w:tcW w:type="dxa" w:w="27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Impacto</w:t>
            </w:r>
          </w:p>
        </w:tc>
        <w:tc>
          <w:tcPr>
            <w:tcW w:type="dxa" w:w="182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Acción</w:t>
            </w:r>
          </w:p>
        </w:tc>
      </w:tr>
      <w:tr>
        <w:tc>
          <w:tcPr>
            <w:tcW w:type="dxa" w:w="14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CRÍTICO</w:t>
            </w:r>
          </w:p>
        </w:tc>
        <w:tc>
          <w:tcPr>
            <w:tcW w:type="dxa" w:w="4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defecto impide completamente el funcionamiento del sistema o de una funcionalidad esencial para el negocio; bloquea el flujo principal.</w:t>
            </w:r>
          </w:p>
        </w:tc>
        <w:tc>
          <w:tcPr>
            <w:tcW w:type="dxa" w:w="27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Muy alto: el sistema no puede ser usado</w:t>
            </w:r>
          </w:p>
        </w:tc>
        <w:tc>
          <w:tcPr>
            <w:tcW w:type="dxa" w:w="18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Requiere remediación inmediata</w:t>
            </w:r>
          </w:p>
        </w:tc>
      </w:tr>
      <w:tr>
        <w:tc>
          <w:tcPr>
            <w:tcW w:type="dxa" w:w="14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GRAVE</w:t>
            </w:r>
          </w:p>
        </w:tc>
        <w:tc>
          <w:tcPr>
            <w:tcW w:type="dxa" w:w="4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defecto afecta funcionalidades importantes, pero el sistema aún funciona parcialmente; existe workaround pero la experiencia se ve comprometida.</w:t>
            </w:r>
          </w:p>
        </w:tc>
        <w:tc>
          <w:tcPr>
            <w:tcW w:type="dxa" w:w="27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Alto: afecta áreas principales del usuario</w:t>
            </w:r>
          </w:p>
        </w:tc>
        <w:tc>
          <w:tcPr>
            <w:tcW w:type="dxa" w:w="18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Debe corregirse con urgencia</w:t>
            </w:r>
          </w:p>
        </w:tc>
      </w:tr>
      <w:tr>
        <w:tc>
          <w:tcPr>
            <w:tcW w:type="dxa" w:w="14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MODERADO</w:t>
            </w:r>
          </w:p>
        </w:tc>
        <w:tc>
          <w:tcPr>
            <w:tcW w:type="dxa" w:w="4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 defecto afecta funcionalidades secundarias o casos específicos sin detener el flujo principal.</w:t>
            </w:r>
          </w:p>
        </w:tc>
        <w:tc>
          <w:tcPr>
            <w:tcW w:type="dxa" w:w="27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Medio: el usuario puede trabajar con molestias o limitaciones</w:t>
            </w:r>
          </w:p>
        </w:tc>
        <w:tc>
          <w:tcPr>
            <w:tcW w:type="dxa" w:w="18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 corrige en próxima iteración</w:t>
            </w:r>
          </w:p>
        </w:tc>
      </w:tr>
      <w:tr>
        <w:tc>
          <w:tcPr>
            <w:tcW w:type="dxa" w:w="14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LEVE</w:t>
            </w:r>
          </w:p>
        </w:tc>
        <w:tc>
          <w:tcPr>
            <w:tcW w:type="dxa" w:w="46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Defecto de apariencia, estética o texto que no afecta la funcionalidad.</w:t>
            </w:r>
          </w:p>
        </w:tc>
        <w:tc>
          <w:tcPr>
            <w:tcW w:type="dxa" w:w="27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Bajo: no impacta la operación</w:t>
            </w:r>
          </w:p>
        </w:tc>
        <w:tc>
          <w:tcPr>
            <w:tcW w:type="dxa" w:w="18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 corrige según disponibilidad</w:t>
            </w:r>
          </w:p>
        </w:tc>
      </w:tr>
    </w:tbl>
    <w:p>
      <w:pPr>
        <w:spacing w:after="120" w:line="360"/>
        <w:jc w:val="both"/>
      </w:pPr>
      <w:r>
        <w:rPr>
          <w:rFonts w:ascii="Arial" w:cs="Arial" w:eastAsia="Arial" w:hAnsi="Arial"/>
          <w:sz w:val="22"/>
          <w:szCs w:val="22"/>
        </w:rPr>
        <w:t xml:space="preserve">Hallazgos identificados. La revisión manual del código guiada por OWASP Top 10 y la ejecución de los casos identificaron 7 hallazgos: 1 crítico, 3 graves, 2 moderados y 1 leve, concentrados en credenciales, sesiones y validación de identidad:</w:t>
      </w:r>
    </w:p>
    <w:tbl>
      <w:tblPr>
        <w:tblW w:type="dxa" w:w="1052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000"/>
        <w:gridCol w:w="2200"/>
        <w:gridCol w:w="2400"/>
        <w:gridCol w:w="2320"/>
      </w:tblGrid>
      <w:tr>
        <w:trPr>
          <w:tblHeader/>
        </w:trPr>
        <w:tc>
          <w:tcPr>
            <w:tcW w:type="dxa" w:w="7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ID</w:t>
            </w:r>
          </w:p>
        </w:tc>
        <w:tc>
          <w:tcPr>
            <w:tcW w:type="dxa" w:w="19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Hallazgo</w:t>
            </w:r>
          </w:p>
        </w:tc>
        <w:tc>
          <w:tcPr>
            <w:tcW w:type="dxa" w:w="10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Severidad</w:t>
            </w:r>
          </w:p>
        </w:tc>
        <w:tc>
          <w:tcPr>
            <w:tcW w:type="dxa" w:w="22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Evidencia</w:t>
            </w:r>
          </w:p>
        </w:tc>
        <w:tc>
          <w:tcPr>
            <w:tcW w:type="dxa" w:w="240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Impacto</w:t>
            </w:r>
          </w:p>
        </w:tc>
        <w:tc>
          <w:tcPr>
            <w:tcW w:type="dxa" w:w="2320"/>
            <w:shd w:fill="D9E2F3" w:val="clear"/>
            <w:tcMar>
              <w:top w:type="dxa" w:w="60"/>
              <w:left w:type="dxa" w:w="80"/>
              <w:bottom w:type="dxa" w:w="60"/>
              <w:right w:type="dxa" w:w="80"/>
            </w:tcMar>
          </w:tcPr>
          <w:p>
            <w:pPr>
              <w:spacing w:line="276"/>
              <w:jc w:val="both"/>
            </w:pPr>
            <w:r>
              <w:rPr>
                <w:rFonts w:ascii="Arial" w:cs="Arial" w:eastAsia="Arial" w:hAnsi="Arial"/>
                <w:b/>
                <w:bCs/>
                <w:sz w:val="20"/>
                <w:szCs w:val="20"/>
              </w:rPr>
              <w:t xml:space="preserve">Acción recomendada</w:t>
            </w:r>
          </w:p>
        </w:tc>
      </w:tr>
      <w:tr>
        <w:tc>
          <w:tcPr>
            <w:tcW w:type="dxa" w:w="7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H-01</w:t>
            </w:r>
          </w:p>
        </w:tc>
        <w:tc>
          <w:tcPr>
            <w:tcW w:type="dxa" w:w="1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Contraseñas almacenadas y comparadas en texto plano</w:t>
            </w:r>
          </w:p>
        </w:tc>
        <w:tc>
          <w:tcPr>
            <w:tcW w:type="dxa" w:w="10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Crítico</w:t>
            </w:r>
          </w:p>
        </w:tc>
        <w:tc>
          <w:tcPr>
            <w:tcW w:type="dxa" w:w="22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auth.js:21 (comparación directa) y :110 (inserción sin hash)</w:t>
            </w:r>
          </w:p>
        </w:tc>
        <w:tc>
          <w:tcPr>
            <w:tcW w:type="dxa" w:w="24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Fuga de credenciales de médicos, pacientes y administradores; acceso indebido a datos clínicos. Incumple Ley 19.628 y OWASP A02.</w:t>
            </w:r>
          </w:p>
        </w:tc>
        <w:tc>
          <w:tcPr>
            <w:tcW w:type="dxa" w:w="2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Hashear con bcrypt/argon2 y sal; migrar credenciales existentes; re-certificar el login.</w:t>
            </w:r>
          </w:p>
        </w:tc>
      </w:tr>
      <w:tr>
        <w:tc>
          <w:tcPr>
            <w:tcW w:type="dxa" w:w="7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H-02</w:t>
            </w:r>
          </w:p>
        </w:tc>
        <w:tc>
          <w:tcPr>
            <w:tcW w:type="dxa" w:w="1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Sesiones JWT sin revocación y secreto por defecto inseguro</w:t>
            </w:r>
          </w:p>
        </w:tc>
        <w:tc>
          <w:tcPr>
            <w:tcW w:type="dxa" w:w="10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Grave</w:t>
            </w:r>
          </w:p>
        </w:tc>
        <w:tc>
          <w:tcPr>
            <w:tcW w:type="dxa" w:w="22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auth.js:8 y :44-55 (token 2 h sin logout); docker-compose.yml:35. Confirmado en vivo por CP006 (token reutilizado respondió 200)</w:t>
            </w:r>
          </w:p>
        </w:tc>
        <w:tc>
          <w:tcPr>
            <w:tcW w:type="dxa" w:w="24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Una sesión robada sigue válida hasta 2 horas sin poder revocarse; sin secreto definido, los tokens podrían forjarse (OWASP A07).</w:t>
            </w:r>
          </w:p>
        </w:tc>
        <w:tc>
          <w:tcPr>
            <w:tcW w:type="dxa" w:w="2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Implementar logout/revocación; exigir secreto fuerte por entorno (fallar si no existe); acortar expiración y evaluar refresh tokens.</w:t>
            </w:r>
          </w:p>
        </w:tc>
      </w:tr>
      <w:tr>
        <w:tc>
          <w:tcPr>
            <w:tcW w:type="dxa" w:w="7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H-03</w:t>
            </w:r>
          </w:p>
        </w:tc>
        <w:tc>
          <w:tcPr>
            <w:tcW w:type="dxa" w:w="1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RUT validado solo por formato, sin dígito verificador</w:t>
            </w:r>
          </w:p>
        </w:tc>
        <w:tc>
          <w:tcPr>
            <w:tcW w:type="dxa" w:w="10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Grave</w:t>
            </w:r>
          </w:p>
        </w:tc>
        <w:tc>
          <w:tcPr>
            <w:tcW w:type="dxa" w:w="22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validations/pacientes.js:8 y utils/rut.js:5-8. Prueba manual: RUT 12.345.678-9 (DV real 5) aceptado con 201</w:t>
            </w:r>
          </w:p>
        </w:tc>
        <w:tc>
          <w:tcPr>
            <w:tcW w:type="dxa" w:w="24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Fichas clínicas asociadas a RUT inexistentes; riesgo de incumplir la identificación del paciente (Ley 20.584).</w:t>
            </w:r>
          </w:p>
        </w:tc>
        <w:tc>
          <w:tcPr>
            <w:tcW w:type="dxa" w:w="2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Validar dígito verificador (módulo 11); rechazar RUT inválidos; revisar registros existentes.</w:t>
            </w:r>
          </w:p>
        </w:tc>
      </w:tr>
      <w:tr>
        <w:tc>
          <w:tcPr>
            <w:tcW w:type="dxa" w:w="7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H-04</w:t>
            </w:r>
          </w:p>
        </w:tc>
        <w:tc>
          <w:tcPr>
            <w:tcW w:type="dxa" w:w="1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Directorio de documentos servido como estático sin autenticación (riesgo latente)</w:t>
            </w:r>
          </w:p>
        </w:tc>
        <w:tc>
          <w:tcPr>
            <w:tcW w:type="dxa" w:w="10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Grave (latente)</w:t>
            </w:r>
          </w:p>
        </w:tc>
        <w:tc>
          <w:tcPr>
            <w:tcW w:type="dxa" w:w="22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app.js:43 (express.static sin autenticación). Verificado: uploads sin archivos hoy (los documentos van a la BD)</w:t>
            </w:r>
          </w:p>
        </w:tc>
        <w:tc>
          <w:tcPr>
            <w:tcW w:type="dxa" w:w="24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Si en el futuro se almacena en disco, cualquier persona con la URL podría descargar documentos clínicos sin token, saltándose el RBAC (OWASP A01).</w:t>
            </w:r>
          </w:p>
        </w:tc>
        <w:tc>
          <w:tcPr>
            <w:tcW w:type="dxa" w:w="2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Eliminar el montaje estático o protegerlo con autenticación; usar solo el endpoint /documentos/:id con control de acceso.</w:t>
            </w:r>
          </w:p>
        </w:tc>
      </w:tr>
      <w:tr>
        <w:tc>
          <w:tcPr>
            <w:tcW w:type="dxa" w:w="7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H-05</w:t>
            </w:r>
          </w:p>
        </w:tc>
        <w:tc>
          <w:tcPr>
            <w:tcW w:type="dxa" w:w="1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Retardo intencional de 5 s en endpoints de listado/creación</w:t>
            </w:r>
          </w:p>
        </w:tc>
        <w:tc>
          <w:tcPr>
            <w:tcW w:type="dxa" w:w="10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Moderado</w:t>
            </w:r>
          </w:p>
        </w:tc>
        <w:tc>
          <w:tcPr>
            <w:tcW w:type="dxa" w:w="22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middleware/delay.js:5 aplicado en pacientes.js:145, examenes.js y documentos.js. Confirmado: CP007 5.036 ms; CP008 5.050 ms</w:t>
            </w:r>
          </w:p>
        </w:tc>
        <w:tc>
          <w:tcPr>
            <w:tcW w:type="dxa" w:w="24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Los listados y operaciones demoran ~5 s; degrada la experiencia e impide la meta de &lt;300 ms (NFR-PERF-1).</w:t>
            </w:r>
          </w:p>
        </w:tc>
        <w:tc>
          <w:tcPr>
            <w:tcW w:type="dxa" w:w="2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Retirar el delay en entornos reales; medir tiempos y definir metas de desempeño.</w:t>
            </w:r>
          </w:p>
        </w:tc>
      </w:tr>
      <w:tr>
        <w:tc>
          <w:tcPr>
            <w:tcW w:type="dxa" w:w="7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H-06</w:t>
            </w:r>
          </w:p>
        </w:tc>
        <w:tc>
          <w:tcPr>
            <w:tcW w:type="dxa" w:w="1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CORS abierto sin restricción de origen</w:t>
            </w:r>
          </w:p>
        </w:tc>
        <w:tc>
          <w:tcPr>
            <w:tcW w:type="dxa" w:w="10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Moderado</w:t>
            </w:r>
          </w:p>
        </w:tc>
        <w:tc>
          <w:tcPr>
            <w:tcW w:type="dxa" w:w="22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app.js:21 (CORS sin restricción)</w:t>
            </w:r>
          </w:p>
        </w:tc>
        <w:tc>
          <w:tcPr>
            <w:tcW w:type="dxa" w:w="24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Permite peticiones desde cualquier origen; combinado con un XSS facilitaría el robo del token (OWASP A05).</w:t>
            </w:r>
          </w:p>
        </w:tc>
        <w:tc>
          <w:tcPr>
            <w:tcW w:type="dxa" w:w="2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Restringir CORS al origen del frontend (FRONTEND_URL).</w:t>
            </w:r>
          </w:p>
        </w:tc>
      </w:tr>
      <w:tr>
        <w:tc>
          <w:tcPr>
            <w:tcW w:type="dxa" w:w="7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H-07</w:t>
            </w:r>
          </w:p>
        </w:tc>
        <w:tc>
          <w:tcPr>
            <w:tcW w:type="dxa" w:w="19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Mensajes de error internos expuestos al cliente</w:t>
            </w:r>
          </w:p>
        </w:tc>
        <w:tc>
          <w:tcPr>
            <w:tcW w:type="dxa" w:w="10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Leve</w:t>
            </w:r>
          </w:p>
        </w:tc>
        <w:tc>
          <w:tcPr>
            <w:tcW w:type="dxa" w:w="22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Patrón err.message en auth.js:67, documentos.js:115 y otras rutas</w:t>
            </w:r>
          </w:p>
        </w:tc>
        <w:tc>
          <w:tcPr>
            <w:tcW w:type="dxa" w:w="240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Los errores internos entregan información útil para un atacante (OWASP A05).</w:t>
            </w:r>
          </w:p>
        </w:tc>
        <w:tc>
          <w:tcPr>
            <w:tcW w:type="dxa" w:w="2320"/>
            <w:tcMar>
              <w:top w:type="dxa" w:w="60"/>
              <w:left w:type="dxa" w:w="80"/>
              <w:bottom w:type="dxa" w:w="60"/>
              <w:right w:type="dxa" w:w="80"/>
            </w:tcMar>
          </w:tcPr>
          <w:p>
            <w:pPr>
              <w:spacing w:line="276"/>
              <w:jc w:val="both"/>
            </w:pPr>
            <w:r>
              <w:rPr>
                <w:rFonts w:ascii="Arial" w:cs="Arial" w:eastAsia="Arial" w:hAnsi="Arial"/>
                <w:b w:val="false"/>
                <w:bCs w:val="false"/>
                <w:sz w:val="20"/>
                <w:szCs w:val="20"/>
              </w:rPr>
              <w:t xml:space="preserve">Responder mensajes genéricos; conservar el detalle solo en los logs del servidor.</w:t>
            </w:r>
          </w:p>
        </w:tc>
      </w:tr>
    </w:tbl>
    <w:p>
      <w:pPr>
        <w:spacing w:after="120" w:line="360"/>
        <w:jc w:val="both"/>
      </w:pPr>
      <w:r>
        <w:rPr>
          <w:rFonts w:ascii="Arial" w:cs="Arial" w:eastAsia="Arial" w:hAnsi="Arial"/>
          <w:sz w:val="22"/>
          <w:szCs w:val="22"/>
        </w:rPr>
        <w:t xml:space="preserve">Fortalezas observadas (evidencia positiva): control de acceso por roles verificado en código y en vivo (401/403, CP007 sin cambios en la base de datos); auditoría insertada en login, registro y operaciones CRUD; validaciones de formulario completas con mensajes por campo; carga de archivos controlada (límite 10 MB, tipos PDF/JPG/PNG); y consultas SQL parametrizadas en las rutas revisadas, que reducen el riesgo de inyección SQL.</w:t>
      </w:r>
    </w:p>
    <w:p>
      <w:r>
        <w:br w:type="page"/>
      </w:r>
    </w:p>
    <w:p>
      <w:pPr>
        <w:pStyle w:val="Heading1"/>
        <w:spacing w:after="120" w:before="240" w:line="360"/>
      </w:pPr>
      <w:r>
        <w:rPr>
          <w:rFonts w:ascii="Arial" w:cs="Arial" w:eastAsia="Arial" w:hAnsi="Arial"/>
          <w:b/>
          <w:bCs/>
          <w:color w:val="000000"/>
          <w:sz w:val="24"/>
          <w:szCs w:val="24"/>
        </w:rPr>
        <w:t xml:space="preserve">6. Análisis ético y normativo de los resultados</w:t>
      </w:r>
    </w:p>
    <w:p>
      <w:pPr>
        <w:pStyle w:val="Heading2"/>
        <w:spacing w:after="100" w:before="200" w:line="360"/>
      </w:pPr>
      <w:r>
        <w:rPr>
          <w:rFonts w:ascii="Arial" w:cs="Arial" w:eastAsia="Arial" w:hAnsi="Arial"/>
          <w:b/>
          <w:bCs/>
          <w:color w:val="000000"/>
          <w:sz w:val="24"/>
          <w:szCs w:val="24"/>
        </w:rPr>
        <w:t xml:space="preserve">6.1 Legal y normativo (contexto chileno)</w:t>
      </w:r>
    </w:p>
    <w:p>
      <w:pPr>
        <w:pStyle w:val="ListParagraph"/>
        <w:numPr>
          <w:ilvl w:val="0"/>
          <w:numId w:val="1"/>
        </w:numPr>
        <w:spacing w:after="60" w:line="360"/>
        <w:jc w:val="both"/>
      </w:pPr>
      <w:r>
        <w:rPr>
          <w:rFonts w:ascii="Arial" w:cs="Arial" w:eastAsia="Arial" w:hAnsi="Arial"/>
          <w:sz w:val="22"/>
          <w:szCs w:val="22"/>
        </w:rPr>
        <w:t xml:space="preserve">Ley 19.628 sobre protección de la vida privada: los datos de salud son datos sensibles y el sistema debe resguardar su confidencialidad. Los hallazgos H-01, H-02 y H-04 afectan directamente este deber: credenciales en texto plano, sesiones no revocables y un directorio de archivos sin autenticación constituyen riesgos concretos de acceso indebido a datos personales de salud.</w:t>
      </w:r>
    </w:p>
    <w:p>
      <w:pPr>
        <w:pStyle w:val="ListParagraph"/>
        <w:numPr>
          <w:ilvl w:val="0"/>
          <w:numId w:val="1"/>
        </w:numPr>
        <w:spacing w:after="60" w:line="360"/>
        <w:jc w:val="both"/>
      </w:pPr>
      <w:r>
        <w:rPr>
          <w:rFonts w:ascii="Arial" w:cs="Arial" w:eastAsia="Arial" w:hAnsi="Arial"/>
          <w:sz w:val="22"/>
          <w:szCs w:val="22"/>
        </w:rPr>
        <w:t xml:space="preserve">Ley 20.584 sobre derechos y deberes del paciente: la ficha clínica es reservada y su acceso debe estar controlado y trazado. La auditoría existente es una fortaleza alineada con este deber; sin embargo, la falta de revocación de sesión (H-02) debilita el control de acceso y la validación incompleta del RUT (H-03) compromete la correcta identificación del paciente frente a su ficha.</w:t>
      </w:r>
    </w:p>
    <w:p>
      <w:pPr>
        <w:pStyle w:val="ListParagraph"/>
        <w:numPr>
          <w:ilvl w:val="0"/>
          <w:numId w:val="1"/>
        </w:numPr>
        <w:spacing w:after="60" w:line="360"/>
        <w:jc w:val="both"/>
      </w:pPr>
      <w:r>
        <w:rPr>
          <w:rFonts w:ascii="Arial" w:cs="Arial" w:eastAsia="Arial" w:hAnsi="Arial"/>
          <w:sz w:val="22"/>
          <w:szCs w:val="22"/>
        </w:rPr>
        <w:t xml:space="preserve">ISO/IEC 25010: adecuación funcional conforme en los flujos probados (CP001–CP004, CP007 y CP008); eficiencia de desempeño limitada por el retardo de 5 s (H-05, confirmado en CP007/CP008); seguridad y confiabilidad comprometidas por H-01 a H-04; mantenibilidad con oportunidades de mejora (8 issues críticos de complejidad S3776, deuda técnica de 465 minutos y 14,5% de duplicación según SonarQube).</w:t>
      </w:r>
    </w:p>
    <w:p>
      <w:pPr>
        <w:pStyle w:val="ListParagraph"/>
        <w:numPr>
          <w:ilvl w:val="0"/>
          <w:numId w:val="1"/>
        </w:numPr>
        <w:spacing w:after="60" w:line="360"/>
        <w:jc w:val="both"/>
      </w:pPr>
      <w:r>
        <w:rPr>
          <w:rFonts w:ascii="Arial" w:cs="Arial" w:eastAsia="Arial" w:hAnsi="Arial"/>
          <w:sz w:val="22"/>
          <w:szCs w:val="22"/>
        </w:rPr>
        <w:t xml:space="preserve">OWASP Top 10 (2021): los hallazgos se mapearon a A01 (control de acceso roto — H-04), A02 (fallos criptográficos — H-01 y H-02), A05 (configuración de seguridad incorrecta — H-06 y H-07) y A07 (fallos de identificación y autenticación — H-02 y H-03). El análisis estático no detectó vulnerabilidades catalogadas (0 en SonarQube), lo que confirma que los riesgos reales residen en la lógica de negocio y la configuración, no en patrones detectables automáticamente: de ahí la necesidad de combinar SAST con revisión manual experta.</w:t>
      </w:r>
    </w:p>
    <w:p>
      <w:pPr>
        <w:pStyle w:val="Heading2"/>
        <w:spacing w:after="100" w:before="200" w:line="360"/>
      </w:pPr>
      <w:r>
        <w:rPr>
          <w:rFonts w:ascii="Arial" w:cs="Arial" w:eastAsia="Arial" w:hAnsi="Arial"/>
          <w:b/>
          <w:bCs/>
          <w:color w:val="000000"/>
          <w:sz w:val="24"/>
          <w:szCs w:val="24"/>
        </w:rPr>
        <w:t xml:space="preserve">6.2 Ética</w:t>
      </w:r>
    </w:p>
    <w:p>
      <w:pPr>
        <w:pStyle w:val="ListParagraph"/>
        <w:numPr>
          <w:ilvl w:val="0"/>
          <w:numId w:val="1"/>
        </w:numPr>
        <w:spacing w:after="60" w:line="360"/>
        <w:jc w:val="both"/>
      </w:pPr>
      <w:r>
        <w:rPr>
          <w:rFonts w:ascii="Arial" w:cs="Arial" w:eastAsia="Arial" w:hAnsi="Arial"/>
          <w:sz w:val="22"/>
          <w:szCs w:val="22"/>
        </w:rPr>
        <w:t xml:space="preserve">Se registran todos los hallazgos encontrados, sin ocultar ni minimizar riesgos sobre datos de salud, y cada uno se sustenta en evidencia (archivo y línea de código o ejecución documentada).</w:t>
      </w:r>
    </w:p>
    <w:p>
      <w:pPr>
        <w:pStyle w:val="ListParagraph"/>
        <w:numPr>
          <w:ilvl w:val="0"/>
          <w:numId w:val="1"/>
        </w:numPr>
        <w:spacing w:after="60" w:line="360"/>
        <w:jc w:val="both"/>
      </w:pPr>
      <w:r>
        <w:rPr>
          <w:rFonts w:ascii="Arial" w:cs="Arial" w:eastAsia="Arial" w:hAnsi="Arial"/>
          <w:sz w:val="22"/>
          <w:szCs w:val="22"/>
        </w:rPr>
        <w:t xml:space="preserve">No se inventaron resultados: lo no ejecutado (DAST con OWASP ZAP, pruebas de carga formales, pruebas de usabilidad con usuarios) se declara como pendiente para la siguiente iteración.</w:t>
      </w:r>
    </w:p>
    <w:p>
      <w:pPr>
        <w:pStyle w:val="ListParagraph"/>
        <w:numPr>
          <w:ilvl w:val="0"/>
          <w:numId w:val="1"/>
        </w:numPr>
        <w:spacing w:after="60" w:line="360"/>
        <w:jc w:val="both"/>
      </w:pPr>
      <w:r>
        <w:rPr>
          <w:rFonts w:ascii="Arial" w:cs="Arial" w:eastAsia="Arial" w:hAnsi="Arial"/>
          <w:sz w:val="22"/>
          <w:szCs w:val="22"/>
        </w:rPr>
        <w:t xml:space="preserve">Los datos utilizados en las pruebas fueron ficticios y no se manipuló ni corrigió el código fuente fuera de las reglas de la actividad: los defectos se registran y se recomienda su corrección.</w:t>
      </w:r>
    </w:p>
    <w:p>
      <w:pPr>
        <w:pStyle w:val="ListParagraph"/>
        <w:numPr>
          <w:ilvl w:val="0"/>
          <w:numId w:val="1"/>
        </w:numPr>
        <w:spacing w:after="60" w:line="360"/>
        <w:jc w:val="both"/>
      </w:pPr>
      <w:r>
        <w:rPr>
          <w:rFonts w:ascii="Arial" w:cs="Arial" w:eastAsia="Arial" w:hAnsi="Arial"/>
          <w:sz w:val="22"/>
          <w:szCs w:val="22"/>
        </w:rPr>
        <w:t xml:space="preserve">Recomendación responsable: no liberar a producción un sistema de salud con riesgos conocidos de confidencialidad (credenciales en texto plano y sesiones no revocables) sin corregirlos primero. Informar al cliente los riesgos residales es una obligación ética del equipo de aseguramiento.</w:t>
      </w:r>
    </w:p>
    <w:p>
      <w:r>
        <w:br w:type="page"/>
      </w:r>
    </w:p>
    <w:p>
      <w:pPr>
        <w:pStyle w:val="Heading1"/>
        <w:spacing w:after="120" w:before="240" w:line="360"/>
      </w:pPr>
      <w:r>
        <w:rPr>
          <w:rFonts w:ascii="Arial" w:cs="Arial" w:eastAsia="Arial" w:hAnsi="Arial"/>
          <w:b/>
          <w:bCs/>
          <w:color w:val="000000"/>
          <w:sz w:val="24"/>
          <w:szCs w:val="24"/>
        </w:rPr>
        <w:t xml:space="preserve">7. Conclusiones, recomendaciones y acciones pendientes</w:t>
      </w:r>
    </w:p>
    <w:p>
      <w:pPr>
        <w:spacing w:after="120" w:line="360"/>
        <w:jc w:val="both"/>
      </w:pPr>
      <w:r>
        <w:rPr>
          <w:rFonts w:ascii="Arial" w:cs="Arial" w:eastAsia="Arial" w:hAnsi="Arial"/>
          <w:sz w:val="22"/>
          <w:szCs w:val="22"/>
        </w:rPr>
        <w:t xml:space="preserve">El sistema Cuidarte+ cumple funcionalmente en los flujos probados (registro de pacientes con validaciones, control de acceso por roles y gestión de documentos con integridad verificada) y presenta fortalezas de control de acceso y auditoría. El análisis estático con SonarQube no detectó vulnerabilidades catalogadas ni bugs de seguridad, lo que coincide con la revisión manual: los riesgos están en la lógica de negocio y la configuración, no en patrones que el análisis estático detecte automáticamente; en cambio registra 8 issues críticos de complejidad cognitiva y 14,5% de duplicación (deuda técnica de 465 minutos).</w:t>
      </w:r>
    </w:p>
    <w:p>
      <w:pPr>
        <w:spacing w:after="120" w:line="360"/>
        <w:jc w:val="both"/>
      </w:pPr>
      <w:r>
        <w:rPr>
          <w:rFonts w:ascii="Arial" w:cs="Arial" w:eastAsia="Arial" w:hAnsi="Arial"/>
          <w:sz w:val="22"/>
          <w:szCs w:val="22"/>
        </w:rPr>
        <w:t xml:space="preserve">Un sistema que administra datos de salud no puede liberarse con credenciales en texto plano (H-01), sesiones no revocables confirmadas en ejecución (H-02, CP006), validación de identidad incompleta (H-03) y un directorio de archivos sin autenticación (H-04). Con toda la evidencia reunida, el veredicto del equipo es:</w:t>
      </w:r>
    </w:p>
    <w:p>
      <w:pPr>
        <w:spacing w:after="120" w:line="360"/>
        <w:jc w:val="both"/>
      </w:pPr>
      <w:r>
        <w:rPr>
          <w:rFonts w:ascii="Arial" w:cs="Arial" w:eastAsia="Arial" w:hAnsi="Arial"/>
          <w:b/>
          <w:bCs/>
          <w:sz w:val="22"/>
          <w:szCs w:val="22"/>
        </w:rPr>
        <w:t xml:space="preserve">Veredicto: GO CONDICIONADO. </w:t>
      </w:r>
      <w:r>
        <w:rPr>
          <w:rFonts w:ascii="Arial" w:cs="Arial" w:eastAsia="Arial" w:hAnsi="Arial"/>
          <w:sz w:val="22"/>
          <w:szCs w:val="22"/>
        </w:rPr>
        <w:t xml:space="preserve">No existe una falla funcional bloqueante en los flujos probados, pero los hallazgos H-01 a H-04 deben corregirse obligatoriamente antes de liberar el sistema a producción. Si estas condiciones no se cumplen, el veredicto debe escalar a NO-GO.</w:t>
      </w:r>
    </w:p>
    <w:p>
      <w:pPr>
        <w:pStyle w:val="Heading2"/>
        <w:spacing w:after="100" w:before="200" w:line="360"/>
      </w:pPr>
      <w:r>
        <w:rPr>
          <w:rFonts w:ascii="Arial" w:cs="Arial" w:eastAsia="Arial" w:hAnsi="Arial"/>
          <w:b/>
          <w:bCs/>
          <w:color w:val="000000"/>
          <w:sz w:val="24"/>
          <w:szCs w:val="24"/>
        </w:rPr>
        <w:t xml:space="preserve">Acciones pendientes y recomendaciones</w:t>
      </w:r>
    </w:p>
    <w:p>
      <w:pPr>
        <w:pStyle w:val="ListParagraph"/>
        <w:numPr>
          <w:ilvl w:val="0"/>
          <w:numId w:val="1"/>
        </w:numPr>
        <w:spacing w:after="60" w:line="360"/>
        <w:jc w:val="both"/>
      </w:pPr>
      <w:r>
        <w:rPr>
          <w:rFonts w:ascii="Arial" w:cs="Arial" w:eastAsia="Arial" w:hAnsi="Arial"/>
          <w:sz w:val="22"/>
          <w:szCs w:val="22"/>
        </w:rPr>
        <w:t xml:space="preserve">Corregir las condiciones obligatorias (H-01 a H-04) y re-ejecutar CP005/CP006 y el análisis SonarQube para evidenciar la mejora (revocación efectiva del token, reducción de issues críticos y deuda técnica).</w:t>
      </w:r>
    </w:p>
    <w:p>
      <w:pPr>
        <w:pStyle w:val="ListParagraph"/>
        <w:numPr>
          <w:ilvl w:val="0"/>
          <w:numId w:val="1"/>
        </w:numPr>
        <w:spacing w:after="60" w:line="360"/>
        <w:jc w:val="both"/>
      </w:pPr>
      <w:r>
        <w:rPr>
          <w:rFonts w:ascii="Arial" w:cs="Arial" w:eastAsia="Arial" w:hAnsi="Arial"/>
          <w:sz w:val="22"/>
          <w:szCs w:val="22"/>
        </w:rPr>
        <w:t xml:space="preserve">Revisar los 8 issues críticos de complejidad cognitiva y los 3 security hotspots señalados por SonarQube para priorizar la refactorización.</w:t>
      </w:r>
    </w:p>
    <w:p>
      <w:pPr>
        <w:pStyle w:val="ListParagraph"/>
        <w:numPr>
          <w:ilvl w:val="0"/>
          <w:numId w:val="1"/>
        </w:numPr>
        <w:spacing w:after="60" w:line="360"/>
        <w:jc w:val="both"/>
      </w:pPr>
      <w:r>
        <w:rPr>
          <w:rFonts w:ascii="Arial" w:cs="Arial" w:eastAsia="Arial" w:hAnsi="Arial"/>
          <w:sz w:val="22"/>
          <w:szCs w:val="22"/>
        </w:rPr>
        <w:t xml:space="preserve">Retirar el retardo de 5 s (H-05) y medir formalmente los tiempos de los CRUD contra las metas del ERS (&lt;300 ms en el 95%, 200 usuarios concurrentes) con JMeter.</w:t>
      </w:r>
    </w:p>
    <w:p>
      <w:pPr>
        <w:pStyle w:val="ListParagraph"/>
        <w:numPr>
          <w:ilvl w:val="0"/>
          <w:numId w:val="1"/>
        </w:numPr>
        <w:spacing w:after="60" w:line="360"/>
        <w:jc w:val="both"/>
      </w:pPr>
      <w:r>
        <w:rPr>
          <w:rFonts w:ascii="Arial" w:cs="Arial" w:eastAsia="Arial" w:hAnsi="Arial"/>
          <w:sz w:val="22"/>
          <w:szCs w:val="22"/>
        </w:rPr>
        <w:t xml:space="preserve">Ejecutar pruebas dinámicas (DAST) con OWASP ZAP y pruebas de usabilidad con usuarios, incluyendo adultos mayores (NFR-USAB), en la siguiente iteración.</w:t>
      </w:r>
    </w:p>
    <w:p>
      <w:pPr>
        <w:pStyle w:val="ListParagraph"/>
        <w:numPr>
          <w:ilvl w:val="0"/>
          <w:numId w:val="1"/>
        </w:numPr>
        <w:spacing w:after="60" w:line="360"/>
        <w:jc w:val="both"/>
      </w:pPr>
      <w:r>
        <w:rPr>
          <w:rFonts w:ascii="Arial" w:cs="Arial" w:eastAsia="Arial" w:hAnsi="Arial"/>
          <w:sz w:val="22"/>
          <w:szCs w:val="22"/>
        </w:rPr>
        <w:t xml:space="preserve">Re-certificar el sistema después de aplicar las correcciones obligatorias y actualizar el veredicto (GO/NO-GO final).</w:t>
      </w:r>
    </w:p>
    <w:p>
      <w:pPr>
        <w:spacing w:after="120" w:line="360"/>
        <w:jc w:val="both"/>
      </w:pPr>
      <w:r>
        <w:rPr>
          <w:rFonts w:ascii="Arial" w:cs="Arial" w:eastAsia="Arial" w:hAnsi="Arial"/>
          <w:sz w:val="22"/>
          <w:szCs w:val="22"/>
        </w:rPr>
        <w:t xml:space="preserve">Referencias del trabajo previo: Plan Maestro de Pruebas Unidad 2 (versión fusionada, 16-10-2026), Guía de Trabajo 2.2 (diseño de casos) y Bitácora de Ejecución 2.3 con sus evidencias, en Mis_Entregables/. Cada integrante del grupo puede explicar y defender la totalidad de este trabajo.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2026-10-18T18:20:22.801Z</dcterms:created>
  <dcterms:modified xsi:type="dcterms:W3CDTF">2026-10-18T18:20:22.803Z</dcterms:modified>
</cp:coreProperties>
</file>

<file path=docProps/custom.xml><?xml version="1.0" encoding="utf-8"?>
<Properties xmlns="http://schemas.openxmlformats.org/officeDocument/2006/custom-properties" xmlns:vt="http://schemas.openxmlformats.org/officeDocument/2006/docPropsVTypes"/>
</file>