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Bitácora de Ejecución — Actividad 2.3 Rol QA (Cuidarte+)</w:t>
      </w:r>
    </w:p>
    <w:p>
      <w:r>
        <w:t>Asignatura: ISY1102 Seguridad y Calidad en el Desarrollo de Software</w:t>
      </w:r>
    </w:p>
    <w:p>
      <w:r>
        <w:t>Equipo: Benjamín Ibáñez — Gerardo Vera</w:t>
      </w:r>
    </w:p>
    <w:p>
      <w:r>
        <w:t>Fecha de ejecución: 06-10-2026</w:t>
      </w:r>
    </w:p>
    <w:p>
      <w:r>
        <w:t>Nota de roles: la ejecución la realizó Benjamín Ibáñez asumiendo los cuatro roles (Líder QA, Ejecutor, Responsable de evidencia y Relator), por trabajo unipersonal en esta sesión.</w:t>
      </w:r>
    </w:p>
    <w:p>
      <w:r>
        <w:t>Entorno: app levantada con Docker en el equipo local. Frontend http://localhost:3333, Backend http://localhost:4444, base de datos en puerto 15442. Navegador Chrome. Usuario de prueba: medico / medico. Sin corregir código fuente.</w:t>
      </w:r>
    </w:p>
    <w:p>
      <w:pPr>
        <w:pStyle w:val="Heading2"/>
      </w:pPr>
      <w:r>
        <w:t>1. Bitácora de ejecución (4 casos obligatorios)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Incidencia</w:t>
            </w:r>
          </w:p>
        </w:tc>
      </w:tr>
      <w:tr>
        <w:tc>
          <w:tcPr>
            <w:tcW w:type="dxa" w:w="1440"/>
          </w:tcPr>
          <w:p>
            <w:r>
              <w:t>CP001 Flujo principal: registrar paciente válido (POST /pacientes).</w:t>
            </w:r>
          </w:p>
        </w:tc>
        <w:tc>
          <w:tcPr>
            <w:tcW w:type="dxa" w:w="1440"/>
          </w:tcPr>
          <w:p>
            <w:r>
              <w:t>Se crea con 201 y aparece en el listado.</w:t>
            </w:r>
          </w:p>
        </w:tc>
        <w:tc>
          <w:tcPr>
            <w:tcW w:type="dxa" w:w="1440"/>
          </w:tcPr>
          <w:p>
            <w:r>
              <w:t>Se creó con 201 y la fila apareció en Gestión de Pacientes.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Evidencias/Grupo1_CP001_Front_201_Pass.png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CP002 Dato inválido: email sin @.</w:t>
            </w:r>
          </w:p>
        </w:tc>
        <w:tc>
          <w:tcPr>
            <w:tcW w:type="dxa" w:w="1440"/>
          </w:tcPr>
          <w:p>
            <w:r>
              <w:t>Se bloquea con mensaje y no se guarda (400 con detalle en email).</w:t>
            </w:r>
          </w:p>
        </w:tc>
        <w:tc>
          <w:tcPr>
            <w:tcW w:type="dxa" w:w="1440"/>
          </w:tcPr>
          <w:p>
            <w:r>
              <w:t>El front mostró el aviso de @ obligatoria y el backend devolvió 400 con detalle en el campo email.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Evidencias/Grupo1_CP002_Front_tooltip_Pass.png y Grupo1_CP002_Backend_400_Pass.png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CP003 Operación duplicada: mismo RUT y email del CP001.</w:t>
            </w:r>
          </w:p>
        </w:tc>
        <w:tc>
          <w:tcPr>
            <w:tcW w:type="dxa" w:w="1440"/>
          </w:tcPr>
          <w:p>
            <w:r>
              <w:t>Se rechaza con 400 (RUT o email ya existe), sin fila nueva.</w:t>
            </w:r>
          </w:p>
        </w:tc>
        <w:tc>
          <w:tcPr>
            <w:tcW w:type="dxa" w:w="1440"/>
          </w:tcPr>
          <w:p>
            <w:r>
              <w:t>El sistema mostró el aviso de duplicado y la consola marcó POST 400.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Evidencias/Grupo1_CP003_Duplicado_400_Pass.png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CP004 Borde: primer nombre de 1 letra (mínimo 2).</w:t>
            </w:r>
          </w:p>
        </w:tc>
        <w:tc>
          <w:tcPr>
            <w:tcW w:type="dxa" w:w="1440"/>
          </w:tcPr>
          <w:p>
            <w:r>
              <w:t>Se rechaza con 400 y detalle en primer_nombre.</w:t>
            </w:r>
          </w:p>
        </w:tc>
        <w:tc>
          <w:tcPr>
            <w:tcW w:type="dxa" w:w="1440"/>
          </w:tcPr>
          <w:p>
            <w:r>
              <w:t>El front marcó el campo en rojo y el backend devolvió 400 con detalle en primer_nombre.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Evidencias/Grupo1_CP004_Front_borde_Pass.png y Grupo1_CP004_Backend_400_Pass.png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pPr>
        <w:pStyle w:val="Heading2"/>
      </w:pPr>
      <w:r>
        <w:t>2. Reporte de incidencias</w:t>
      </w:r>
    </w:p>
    <w:p>
      <w:r>
        <w:t>Sin defectos que reportar: los 4 casos terminaron en Pass, el sistema validó todo lo esperado (formato de email, duplicados y largo mínimo). No se crea DEF-001.</w:t>
      </w:r>
    </w:p>
    <w:p>
      <w:pPr>
        <w:pStyle w:val="Heading2"/>
      </w:pPr>
      <w:r>
        <w:t>3. Cierre</w:t>
      </w:r>
    </w:p>
    <w:p>
      <w:r>
        <w:t>Los 4 casos obligatorios están ejecutados y con evidencia. Este registro alimenta la unidad 2.4 y la Sección 7 del Plan Maestro.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