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C0EAEB5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/>
          <w:color w:val="17365D" w:themeColor="text2" w:themeShade="BF"/>
          <w:spacing w:val="5"/>
          <w:kern w:val="28"/>
          <w:sz w:val="52"/>
          <w:szCs w:val="52"/>
        </w:rPr>
        <w:t>Diseño de una Solución con Agente LLM y RAG para el Cálculo de Dosis Seguras en Clínica Veterinaria</w:t>
      </w:r>
    </w:p>
    <w:p w14:paraId="2346F08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Informe Técnico — Evaluación Parcial N°1 (30%)</w:t>
      </w:r>
    </w:p>
    <w:p w14:paraId="658C5FD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ISY0101 — Ingeniería de Soluciones con IA</w:t>
      </w:r>
    </w:p>
    <w:p w14:paraId="13A7EFE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Benjamín Ibáñez</w:t>
      </w:r>
    </w:p>
    <w:p w14:paraId="3EB9C81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Docente: Giocrisrai Godoy · Sección 001D</w:t>
      </w:r>
    </w:p>
    <w:p w14:paraId="42A674C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DUOC UC</w:t>
      </w:r>
    </w:p>
    <w:p w14:paraId="0C9F5BD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Septiembre de 2026</w:t>
      </w:r>
    </w:p>
    <w:p w14:paraId="13E904B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Análisis del Caso Organizacional</w:t>
      </w:r>
    </w:p>
    <w:p w14:paraId="509DA39D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La organización del caso es una clínica veterinaria pequeña sin especialista de respaldo que necesita apoyo para calcular dosis seguras y detectar interacciones antes de recetar. Hoy el cálculo es manual: el tratante consulta formularios en papel, cruza de memoria los medicamentos actuales del paciente y arriesga errores de conversión mg/kg o combinaciones peligrosas (por ejemplo, dos AINE simultáneos).</w:t>
      </w:r>
    </w:p>
    <w:p w14:paraId="5D19B8C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Los requerimientos específicos que la solución debe cubrir son: (1) recuperar internamente la ficha del paciente del historial clínico; (2) recuperar de una fuente externa la guía de dosificación exacta para la especie y el fármaco; (3) calcular el rango de dosis seguro según el peso (mg/kg × peso); (4) verificar interacciones con los medicamentos actuales del paciente; y (5) responder citando la fuente exacta de cada decisión. La regla de seguridad no negociable es que el agente NUNCA entrega una dosis si la fuente no tiene el dato exacto: responde que no tiene información suficiente en vez de estimar. El objetivo medible fijado fue una tasa de acierto igual o superior a 85% en un conjunto de evaluación con casos de dosis, alertas y negativas.</w:t>
      </w:r>
    </w:p>
    <w:p w14:paraId="22A8CCA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La motivación para usar agentes con LLM y RAG (Lewis et al., 2020) es que el problema es conversacional y multipaso: entender un caso en lenguaje natural, recuperar ficha y guía, calcular, verificar interacciones y responder con citas. Un LLM solo no basta (inventa dosis); el RAG acota al contexto verificado y las herramientas calculan con reglas explícitas, con guardrails en código —no solo en el prompt— como controlador de seguridad.</w:t>
      </w:r>
    </w:p>
    <w:p w14:paraId="0214CB0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Formulación de Prompts</w:t>
      </w:r>
    </w:p>
    <w:p w14:paraId="1034199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Los prompts viven en agent/prompts.py y se componen de dos partes. El prompt de sistema (SISTEMA_BASE) fija el rol —asistente de prescripción asistida— y reglas duras: responder solo con el contexto recuperado, citar cada afirmación con [F#] para fragmentos y [T#] para herramientas, regla de negativa exacta si falta el dato especie/fármaco, alerta explícita ante interacciones, y máximo 200 palabras dirigidas al veterinario tratante. El prompt de usuario se arma por plantilla (PLANTILLA_USUARIO/función armar_usuario) con contexto numerado, herramientas y caso clínico.</w:t>
      </w:r>
    </w:p>
    <w:p w14:paraId="4AA15C8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Recuadro B1 — Prompt de sistema y plantilla (extracto literal de agent/prompts.py, 40 líneas).</w:t>
      </w:r>
    </w:p>
    <w:p w14:paraId="17F84C9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SISTEMA_BASE (reglas 1-3 y 6): 1. Responde SOLO con información del CONTEXTO RECUPERADO. [...] 2. Cita cada afirmación factual con [F1], [F2], etc. Sin cita = sin afirmación. 3. Si la guía no tiene dato exacto [...], NO des ninguna cifra. Di exactamente: "No tengo informacion suficiente en la base de conocimiento interna" [...]. 6. Si hay RESULTADOS DE HERRAMIENTAS ([T1]...), repórtalos tal cual: rango calculado y verificación de interacciones.</w:t>
      </w:r>
    </w:p>
    <w:p w14:paraId="18A995A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PLANTILLA_USUARIO (función armar_usuario): CONTEXTO RECUPERADO: {bloque_contexto} # [F#] (fuente, tipo) + texto; {bloque_herramientas} # [T#] (fuente) + texto; CASO CLINICO: {consulta}. (Extracto; fuente completa: agent/prompts.py.)</w:t>
      </w:r>
    </w:p>
    <w:p w14:paraId="3A2D4DF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Ejemplo E01 — perro con dolor articular, 24,5 kg, carprofeno, paciente FIC-001 (salida real, ClienteFalso determinista). Respuesta: "ALERTA DE INTERACCION SEVERA entre carprofeno y los medicamentos actuales [...] carprofeno + meloxicam [...] No administrar sin supervision veterinaria directa." Dosis calculada: 49,0–107,8 mg (2,0–4,4 mg/kg × 24,5 kg, DOS-001). Ejemplo E08 — gato + carprofeno: negativa "No tengo informacion suficiente" (la guía no tiene carprofeno-gato; hueco deliberado).</w:t>
      </w:r>
    </w:p>
    <w:p w14:paraId="719F739F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Se eligieron temperaturas bajas (0,2) y límite de salida (1.024 tokens) para respuestas deterministas y breves. La justificación es directa sobre seguridad: sin citas obligatorias la trazabilidad no se cumple, y sin la regla de negativa el modelo tiende a fabricar dosis.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BF4C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/>
                <w:b/>
                <w:bCs/>
                <w:sz w:val="22"/>
                <w:szCs w:val="22"/>
              </w:rPr>
              <w:t>Prompt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9261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/>
                <w:b/>
                <w:bCs/>
                <w:sz w:val="22"/>
                <w:szCs w:val="22"/>
              </w:rPr>
              <w:t>Cuándo se activa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CABF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/>
                <w:b/>
                <w:bCs/>
                <w:sz w:val="22"/>
                <w:szCs w:val="22"/>
              </w:rPr>
              <w:t>Reglas clave y justificación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3D74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SISTEMA_BASE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724E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Toda consulta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20AB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Reglas 1-6: solo contexto, citas [F#]/[T#], negativa exacta, alerta explícita; temp 0,2 y 1024 tokens.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B183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PLANTILLA_USUARIO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A34D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Siempre (envuelve cada llamada)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F4E3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Ordena contexto ([F#] con fuente) + herramientas ([T#]) + caso; sin este orden el LLM no puede citar.</w:t>
            </w:r>
          </w:p>
        </w:tc>
      </w:tr>
    </w:tbl>
    <w:p w14:paraId="33B8CC4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Muestreo fijo en agent/llm_client.py: temperature=0,2 y max_completion_tokens=1024 (regla 5: máximo 200 palabras).</w:t>
      </w:r>
    </w:p>
    <w:p w14:paraId="428AEF7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Pipeline RAG: Fuentes Internas y Externas</w:t>
      </w:r>
    </w:p>
    <w:p w14:paraId="342EDAC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La base interna son 12 fichas clínicas (FIC-001 a FIC-012 en JSON: 5 perro, 4 gato, 3 conejo, con peso, edad, medicamentos actuales y alergias). La fuente externa es una guía de dosificación de 18 entradas (DOS-001 a DOS-018: 7 perro, 6 gato, 5 conejo, con mg/kg mín-máx, frecuencia, vía y fuente bibliográfica) más 8 pares de interacciones con severidad y nota clínica. Incluye huecos deliberados (carprofeno-gato, amoxicilina-conejo) para probar la negativa. La ingesta (ingestion/ingest.py) fragmenta en 500 caracteres con solapamiento de 50, vectoriza con paraphrase-multilingual-MiniLM-L12-v2 (Reimers &amp; Gurevych, 2019; contenido en español) e indexa en ChromaDB persistente (30 documentos) con metadata por especie y tipo de fuente.</w:t>
      </w:r>
    </w:p>
    <w:p w14:paraId="4877539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La recuperación exige coincidencia exacta especie/fármaco: la consulta recupera la ficha del paciente y la entrada de dosificación; sin entrada exacta no hay cálculo posible y se activa la negativa. El cálculo (tools/dose_calculator.py) multiplica mg/kg por el peso y valida contra la fuente; la verificación (tools/interaction_checker.py) cruza el fármaco propuesto con los actuales en ambas direcciones. El flujo es: caso clínico → validación pre-loop → RAG (ficha + guía) → ¿entrada exacta? → cálculo + interacciones → LLM con citas → guardrails post-LLM → respuesta + trace.jsonl. La tabla 1 resume las decisiones del pipeline.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A639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/>
                <w:b/>
                <w:bCs/>
                <w:sz w:val="22"/>
                <w:szCs w:val="22"/>
              </w:rPr>
              <w:t>Decisión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98C3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/>
                <w:b/>
                <w:bCs/>
                <w:sz w:val="22"/>
                <w:szCs w:val="22"/>
              </w:rPr>
              <w:t>Justificación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66ED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ChromaDB persistente con filtros de metadata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A2C3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Filtrado exacto por especie/tipo de fuente, requisito de seguridad; FAISS ofrece solo búsqueda vectorial plana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FE3E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Embeddings locales MiniLM-L12-v2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7C7D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Corpus en español; costo cero y datos privados frente a APIs de embeddings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3504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Chunking 500/50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DBA0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Visto en clases; fichas y entradas son cortas y deben recuperarse completas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8F46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Coincidencia exacta especie/fármaco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1F01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Sin dato exacto no hay dosis: la negativa honesta es requisito, no fallback</w:t>
            </w:r>
          </w:p>
        </w:tc>
      </w:tr>
    </w:tbl>
    <w:p w14:paraId="1BBE407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Extracto de trazabilidad — caso FIC-001 + carprofeno (main.py --pasos --falso): • busqueda_ficha → FIC-001 (perro 24,5 kg, toma meloxicam) • busqueda_dosificacion → DOS-001 (carprofeno perro 2,0–4,4 mg/kg) • calculo_dosis → 49,0–107,8 mg • verificacion_interacciones → severa carprofeno+meloxicam • guardrails_aplicados → alerta_severa_anteponida • respuesta_final con citas [F#]/[T#].</w:t>
      </w:r>
    </w:p>
    <w:p w14:paraId="109F94C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Arquitectura de la Solución</w:t>
      </w:r>
    </w:p>
    <w:p w14:paraId="5F2C86E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La Figura 1 presenta la arquitectura. El núcleo es un loop de razonamiento-acción propio tipo ReAct (Yao et al., 2023) (agent/reasoning_loop.py) que orquesta: validación pre-loop, recuperación RAG, herramientas de cálculo y verificación, guardrails post-LLM y generación final. Cada paso se registra en logs/trace.jsonl con paso, tipo de evento y hora UTC.</w:t>
      </w:r>
    </w:p>
    <w:p w14:paraId="5F73E061">
      <w:pPr>
        <w:spacing w:after="60"/>
        <w:jc w:val="center"/>
      </w:pPr>
      <w:r>
        <w:drawing>
          <wp:inline distT="0" distB="0" distL="0" distR="0">
            <wp:extent cx="5486400" cy="5429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3C24">
      <w:pPr>
        <w:jc w:val="center"/>
      </w:pPr>
      <w:r>
        <w:rPr>
          <w:rFonts w:ascii="Cambria" w:hAnsi="Cambria" w:eastAsia="ＭＳ 明朝" w:cs="Cambria" w:asciiTheme="minorHAnsi" w:hAnsiTheme="minorHAnsi" w:eastAsiaTheme="minorEastAsia"/>
          <w:i/>
          <w:iCs/>
          <w:sz w:val="22"/>
          <w:szCs w:val="22"/>
        </w:rPr>
        <w:t>Figura 1 — Arquitectura del agente de dosis seguras (loop razonamiento-acción).</w:t>
      </w:r>
    </w:p>
    <w:p w14:paraId="55A768B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Nota. Diagrama de arquitectura; fuente reproducible: scripts/render_diagramas.py.</w:t>
      </w:r>
    </w:p>
    <w:p w14:paraId="043C0C6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Los componentes clave son: (a) cliente LLM (agent/llm_client.py): ClienteLangChain por defecto (ChatGroq vía langchain-groq, Groq gpt-oss-120b; ClienteFalso determinista con --falso); (b) Recuperador ChromaDB que lee EMBEDDING_MODEL del entorno y avisa re-ejecutar la ingesta si falta la colección; (c) validación pre-loop (agent/validacion.py: especies perro/gato/conejo, rangos perro [0,1, 200], gato [0,1, 50], conejo [0,1, 10], coherencia ficha-vs-input, fármaco obligatorio); (d) guardrails post-LLM (la negativa REEMPLAZA el texto del modelo; la alerta severa se antepone); (e) Trazador JSONL transversal. Para la demostración hay CLI (main.py con --pasos y --falso), notebook con cuatro casos y una interfaz Streamlit (app.py) con peso máximo dinámico por especie y los dos casos del guión. Como observabilidad, planificar() está decorado con @traceable y main.py/app.py activan LangSmith cuando existe LANGSMITH_API_KEY en el entorno, registrando timeline de pasos, latencias y tokens por corrida; sin clave el trazado es no-op y los tests no cambian.</w:t>
      </w:r>
    </w:p>
    <w:p w14:paraId="6545708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Documentación Técnica: Decisiones y Validación</w:t>
      </w:r>
    </w:p>
    <w:p w14:paraId="66224405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El proyecto se desarrolló por fases en un repositorio (ep1-veterinaria-agente, uv + Python 3.13) con tests por fase (17/17) y un conjunto de 14 casos (tests/eval_dataset.json) que cubre dosis por especie/peso, alertas severas, moderadas y leves, negativas por dato inexistente y citas. Resultado: 14/14 (100%) sobre la meta de 85%, con ClienteFalso determinista. En la corrección pre-entrega se agregó tests/conftest.py (pytest desde cualquier directorio) y se simplificó la UI con el peso máximo por especie.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6E48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/>
                <w:b/>
                <w:bCs/>
                <w:sz w:val="22"/>
                <w:szCs w:val="22"/>
              </w:rPr>
              <w:t>Decisión (alternativa descartada)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F1E0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/>
                <w:b/>
                <w:bCs/>
                <w:sz w:val="22"/>
                <w:szCs w:val="22"/>
              </w:rPr>
              <w:t>Justificación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254B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Loop propio sin LangGraph (D8)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86C8C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Control total de guardrails y trazabilidad; el LLM nunca decide seguridad, solo redacta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0852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ChromaDB sobre FAISS (D3)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B128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Filtro nativo por metadata de especie; en FAISS el filtrado debe simularse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BCC5A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Guardrails en código, no en prompt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CADB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La negativa reemplaza la salida del modelo: cero riesgo de cifra inventada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17136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Validación pre-loop bloqueante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D6E8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Rechaza entradas inseguras antes de RAG/LLM, sin costo ni riesgo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916E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Cliente falso determinista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ACA3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/>
                <w:sz w:val="22"/>
                <w:szCs w:val="22"/>
              </w:rPr>
              <w:t>Tests y evals reproducibles sin cuota; el LLM real se valida aparte con Groq</w:t>
            </w:r>
          </w:p>
        </w:tc>
      </w:tr>
    </w:tbl>
    <w:p w14:paraId="0D48570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Como evidencia de robustez de la arquitectura base, se construyó un segundo prototipo con el mismo esqueleto (ep1-ecoturismo-agente: RAG de paquetes, clima real, replanificador determinista) que obtuvo 12/12 (100%); la superficie reutilizada fue de ~100 líneas (cliente LLM, trazador y recuperador).</w:t>
      </w:r>
    </w:p>
    <w:p w14:paraId="513885BF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Conclusiones</w:t>
      </w:r>
    </w:p>
    <w:p w14:paraId="318EA3D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El agente cumple los cinco requerimientos: recupera ficha y guía con RAG filtrable, calcula el rango seguro, verifica interacciones, cita la fuente de cada decisión y registra trazabilidad, con 100% en los 14 casos (meta 85%). Las limitaciones son conocidas: la guía es un dataset curado de referencia (no sustituye a Plumb's ni a la ficha vigente) y la salida es apoyo al veterinario, no prescripción; además la cuota Groq (200k tokens/día) obliga al modelo rápido en desarrollo. Como trabajo futuro: ampliar la guía con más fármacos y contraindicaciones por alergia.</w:t>
      </w:r>
    </w:p>
    <w:p w14:paraId="401AE43F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Reflexión individual — Benjamín Ibáñez</w:t>
      </w:r>
    </w:p>
    <w:p w14:paraId="76B11C2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Con la creación de este prototipo aprendí mas sobre LLM y RAG, entendí que juntar ambos puede servir para crear un poderoso agente que sirva para resolver problemas de la vida real sin que este necesariamente tenga el mismo funcionamiento y RIESGO de usar un chat de IA convencional como por ej. ChatGPT o Gemini. Estos agentes pueden ser altamente configurados, personalizados y estructurados para cualquier contexto y pueden facilitar cosas sin necesariamente “reemplazar” el trabajo humano. Lo más difícil para mi durante este proyecto fue la selección del caso/contexto y la planificación para el agente, empecé con un caso real de la empresa Oxford (https://oxfordstore.cl/), después pasé a la idea de un agente que ayude a la gente a planificar viajes de turismo considerando varios factores reales como las predicciones del clima y terminé quedándome con el contexto de una veterinaria por simplicidad y falta de tiempo.</w:t>
      </w:r>
    </w:p>
    <w:p w14:paraId="6DAA46B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Declaración de uso de IA</w:t>
      </w:r>
      <w:r>
        <w:t xml:space="preserve">  </w:t>
      </w:r>
    </w:p>
    <w:p w14:paraId="43A4CB2C">
      <w:pPr>
        <w:spacing w:after="160"/>
      </w:pPr>
      <w:r>
        <w:rPr>
          <w:rFonts w:ascii="Cambria" w:hAnsi="Cambria" w:cs="Cambria"/>
          <w:sz w:val="22"/>
          <w:szCs w:val="22"/>
        </w:rPr>
        <w:t>Se usó asistencia de IA para redacción y código inicial base del proyecto; todo contenido generado fue revisado y validado. Las conclusiones, justificaciones técnicas y la reflexión individual son de autoría propia, sin apoyo de IA.</w:t>
      </w:r>
    </w:p>
    <w:p w14:paraId="07CFE3E5">
      <w:r>
        <w:t xml:space="preserve">  </w:t>
      </w:r>
    </w:p>
    <w:p w14:paraId="62E6F9F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Referencias</w:t>
      </w:r>
    </w:p>
    <w:p>
      <w:r>
        <w:t>LangChain. (2026). LangSmith: Observability and evaluation for LLM applications. https://www.langchain.com/langsmith</w:t>
      </w:r>
    </w:p>
    <w:p w14:paraId="61BCE9E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Lewis, P., Perez, E., Piktus, A., Petroni, F., Karpukhin, V., Goyal, N., Küttler, H., Lewis, M., Yih, W., Rocktäschel, T., Riedel, S., &amp; Kiela, D. (2020). Retrieval-augmented generation for knowledge-intensive NLP tasks. Advances in Neural Information Processing Systems, 33, 9459–9474.</w:t>
      </w:r>
    </w:p>
    <w:p w14:paraId="7637DD1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Reimers, N., &amp; Gurevych, I. (2019). Sentence-BERT: Sentence embeddings using Siamese BERT-networks. Proceedings of EMNLP-IJCNLP, 3982–3992.</w:t>
      </w:r>
    </w:p>
    <w:p w14:paraId="0FF40B2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/>
          <w:sz w:val="22"/>
          <w:szCs w:val="22"/>
        </w:rPr>
        <w:t>Yao, S., Zhao, J., Yu, D., Du, N., Shafran, I., Narasimhan, K., &amp; Cao, Y. (2023). ReAct: Synergizing reasoning and acting in language models. International Conference on Learning Representations.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2026-09-11T00:16:35.219Z</dcterms:modified>
  <cp:category/>
</cp:coreProperties>
</file>