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C0EAEB5">
      <w:pPr>
        <w:pStyle w:val="Title"/>
      </w:pPr>
      <w:r>
        <w:rPr>
          <w:rFonts w:ascii="Calibri" w:hAnsi="Calibri" w:eastAsia="ＭＳ ゴシック" w:cs="Calibri" w:asciiTheme="majorHAnsi" w:hAnsiTheme="majorHAnsi" w:eastAsiaTheme="majorEastAsia"/>
          <w:color w:val="17365D" w:themeColor="text2" w:themeShade="BF"/>
          <w:spacing w:val="5"/>
          <w:kern w:val="28"/>
          <w:sz w:val="52"/>
          <w:szCs w:val="52"/>
        </w:rPr>
        <w:t>Diseño de una Solución con Agente LLM y RAG para el Cálculo de Dosis Seguras en Clínica Veterinaria</w:t>
      </w:r>
    </w:p>
    <w:p w14:paraId="2346F08A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Informe Técnico — Evaluación Parcial N°1 (30%)</w:t>
      </w:r>
    </w:p>
    <w:p w14:paraId="658C5FD3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ISY0101 — Ingeniería de Soluciones con IA</w:t>
      </w:r>
    </w:p>
    <w:p w14:paraId="13A7EFE3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Benjamín Ibáñez</w:t>
      </w:r>
    </w:p>
    <w:p w14:paraId="3EB9C81C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Docente: Giocrisrai Godoy · Sección 001D</w:t>
      </w:r>
    </w:p>
    <w:p w14:paraId="42A674CE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DUOC UC</w:t>
      </w:r>
    </w:p>
    <w:p w14:paraId="0C9F5BD8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Septiembre de 2026</w:t>
      </w:r>
    </w:p>
    <w:p w14:paraId="13E904B3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Análisis del Caso Organizacional</w:t>
      </w:r>
    </w:p>
    <w:p w14:paraId="509DA39D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La organización del caso es una clínica veterinaria pequeña sin especialista de respaldo que necesita apoyo para calcular dosis seguras y detectar interacciones antes de recetar. Hoy el cálculo es manual: el tratante consulta formularios en papel, cruza de memoria los medicamentos actuales del paciente y arriesga errores de conversión mg/kg o combinaciones peligrosas (por ejemplo, dos AINE simultáneos).</w:t>
      </w:r>
    </w:p>
    <w:p w14:paraId="5D19B8C0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Los requerimientos específicos que la solución debe cubrir son: (1) recuperar internamente la ficha del paciente del historial clínico; (2) recuperar de una fuente externa la guía de dosificación exacta para la especie y el fármaco; (3) calcular el rango de dosis seguro según el peso (mg/kg × peso); (4) verificar interacciones con los medicamentos actuales del paciente; y (5) responder citando la fuente exacta de cada decisión. La regla de seguridad no negociable es que el agente NUNCA entrega una dosis si la fuente no tiene el dato exacto: responde que no tiene información suficiente en vez de estimar. El objetivo medible fijado fue una tasa de acierto igual o superior a 85% en un conjunto de evaluación con casos de dosis, alertas y negativas.</w:t>
      </w:r>
    </w:p>
    <w:p w14:paraId="22A8CCA3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La motivación para usar agentes con LLM y RAG (Lewis et al., 2020) es que el problema es conversacional y multipaso: entender un caso en lenguaje natural, recuperar ficha y guía, calcular, verificar interacciones y responder con citas. Un LLM solo no basta (inventa dosis); el RAG acota al contexto verificado y las herramientas calculan con reglas explícitas, con guardrails en código —no solo en el prompt— como controlador de seguridad.</w:t>
      </w:r>
    </w:p>
    <w:p w14:paraId="0214CB05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Formulación de Prompts</w:t>
      </w:r>
    </w:p>
    <w:p w14:paraId="1034199E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Los prompts viven en agent/prompts.py y se componen de dos partes. El prompt de sistema (SISTEMA_BASE) fija el rol —asistente de prescripción asistida— y reglas duras: responder solo con el contexto recuperado, citar cada afirmación con [F#] para fragmentos y [T#] para herramientas, regla de negativa exacta si falta el dato especie/fármaco, alerta explícita ante interacciones, y máximo 200 palabras dirigidas al veterinario tratante. El prompt de usuario se arma por plantilla (PLANTILLA_USUARIO/función armar_usuario) con contexto numerado, herramientas y caso clínico.</w:t>
      </w:r>
    </w:p>
    <w:p w14:paraId="4AA15C86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Recuadro B1 — Prompt de sistema y plantilla (extracto literal de agent/prompts.py, 40 líneas).</w:t>
      </w:r>
    </w:p>
    <w:p w14:paraId="17F84C9A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SISTEMA_BASE (reglas 1-3 y 6): 1. Responde SOLO con información del CONTEXTO RECUPERADO. [...] 2. Cita cada afirmación factual con [F1], [F2], etc. Sin cita = sin afirmación. 3. Si la guía no tiene dato exacto [...], NO des ninguna cifra. Di exactamente: "No tengo informacion suficiente en la base de conocimiento interna" [...]. 6. Si hay RESULTADOS DE HERRAMIENTAS ([T1]...), repórtalos tal cual: rango calculado y verificación de interacciones.</w:t>
      </w:r>
    </w:p>
    <w:p w14:paraId="18A995A8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PLANTILLA_USUARIO (función armar_usuario): CONTEXTO RECUPERADO: {bloque_contexto} # [F#] (fuente, tipo) + texto; {bloque_herramientas} # [T#] (fuente) + texto; CASO CLINICO: {consulta}. (Extracto; fuente completa: agent/prompts.py.)</w:t>
      </w:r>
    </w:p>
    <w:p w14:paraId="3A2D4DF0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Ejemplo E01 — perro con dolor articular, 24,5 kg, carprofeno, paciente FIC-001 (salida real, ClienteFalso determinista). Respuesta: "ALERTA DE INTERACCION SEVERA entre carprofeno y los medicamentos actuales [...] carprofeno + meloxicam [...] No administrar sin supervision veterinaria directa." Dosis calculada: 49,0–107,8 mg (2,0–4,4 mg/kg × 24,5 kg, DOS-001). Ejemplo E08 — gato + carprofeno: negativa "No tengo informacion suficiente" (la guía no tiene carprofeno-gato; hueco deliberado).</w:t>
      </w:r>
    </w:p>
    <w:p w14:paraId="719F739F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Se eligieron temperaturas bajas (0,2) y límite de salida (1.024 tokens) para respuestas deterministas y breves. La justificación es directa sobre seguridad: sin citas obligatorias la trazabilidad no se cumple, y sin la regla de negativa el modelo tiende a fabricar dosis.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80"/>
        <w:gridCol w:w="2880"/>
        <w:gridCol w:w="2880"/>
      </w:tblGrid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BF4CB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Prompt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92617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Cuándo se activa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CABFF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Reglas clave y justificación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3D74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SISTEMA_BASE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6724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Toda consulta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20A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Reglas 1-6: solo contexto, citas [F#]/[T#], negativa exacta, alerta explícita; temp 0,2 y 1024 tokens.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B183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PLANTILLA_USUARIO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7A34D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Siempre (envuelve cada llamada)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BF4E3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Ordena contexto ([F#] con fuente) + herramientas ([T#]) + caso; sin este orden el LLM no puede citar.</w:t>
            </w:r>
          </w:p>
        </w:tc>
      </w:tr>
    </w:tbl>
    <w:p w14:paraId="33B8CC4E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Muestreo fijo en agent/llm_client.py: temperature=0,2 y max_completion_tokens=1024 (regla 5: máximo 200 palabras).</w:t>
      </w:r>
    </w:p>
    <w:p w14:paraId="428AEF70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Pipeline RAG: Fuentes Internas y Externas</w:t>
      </w:r>
    </w:p>
    <w:p w14:paraId="342EDAC8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La base interna son 12 fichas clínicas (FIC-001 a FIC-012 en JSON: 5 perro, 4 gato, 3 conejo, con peso, edad, medicamentos actuales y alergias). La fuente externa es una guía de dosificación de 18 entradas (DOS-001 a DOS-018: 7 perro, 6 gato, 5 conejo, con mg/kg mín-máx, frecuencia, vía y fuente bibliográfica) más 8 pares de interacciones con severidad y nota clínica. Incluye huecos deliberados (carprofeno-gato, amoxicilina-conejo) para probar la negativa. La ingesta (ingestion/ingest.py) fragmenta en 500 caracteres con solapamiento de 50, vectoriza con paraphrase-multilingual-MiniLM-L12-v2 (Reimers &amp; Gurevych, 2019; contenido en español) e indexa en ChromaDB persistente (30 documentos) con metadata por especie y tipo de fuente.</w:t>
      </w:r>
    </w:p>
    <w:p w14:paraId="48775392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La recuperación exige coincidencia exacta especie/fármaco: la consulta recupera la ficha del paciente y la entrada de dosificación; sin entrada exacta no hay cálculo posible y se activa la negativa. El cálculo (tools/dose_calculator.py) multiplica mg/kg por el peso y valida contra la fuente; la verificación (tools/interaction_checker.py) cruza el fármaco propuesto con los actuales en ambas direcciones. El flujo es: caso clínico → validación pre-loop → RAG (ficha + guía) → ¿entrada exacta? → cálculo + interacciones → LLM con citas → guardrails post-LLM → respuesta + trace.jsonl. La tabla 1 resume las decisiones del pipeline.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320"/>
        <w:gridCol w:w="4320"/>
      </w:tblGrid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0A6396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Decisión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A98C3D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Justificación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66ED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ChromaDB persistente con filtros de metadata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A2C3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Filtrado exacto por especie/tipo de fuente, requisito de seguridad; FAISS ofrece solo búsqueda vectorial plana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FE3E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Embeddings locales MiniLM-L12-v2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E7C7D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Corpus en español; costo cero y datos privados frente a APIs de embeddings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73504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Chunking 500/50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DBA0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Visto en clases; fichas y entradas son cortas y deben recuperarse completas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8F46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Coincidencia exacta especie/fármaco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11F01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Sin dato exacto no hay dosis: la negativa honesta es requisito, no fallback</w:t>
            </w:r>
          </w:p>
        </w:tc>
      </w:tr>
    </w:tbl>
    <w:p w14:paraId="1BBE407A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Extracto de trazabilidad — caso FIC-001 + carprofeno (main.py --pasos --falso): • busqueda_ficha → FIC-001 (perro 24,5 kg, toma meloxicam) • busqueda_dosificacion → DOS-001 (carprofeno perro 2,0–4,4 mg/kg) • calculo_dosis → 49,0–107,8 mg • verificacion_interacciones → severa carprofeno+meloxicam • guardrails_aplicados → alerta_severa_anteponida • respuesta_final con citas [F#]/[T#].</w:t>
      </w:r>
    </w:p>
    <w:p w14:paraId="109F94C4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Arquitectura de la Solución</w:t>
      </w:r>
    </w:p>
    <w:p w14:paraId="5F2C86EA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La Figura 1 presenta la arquitectura. El núcleo es un loop de razonamiento-acción propio tipo ReAct (Yao et al., 2023) (agent/reasoning_loop.py) que orquesta: validación pre-loop, recuperación RAG, herramientas de cálculo y verificación, guardrails post-LLM y generación final. Cada paso se registra en logs/trace.jsonl con paso, tipo de evento y hora UTC.</w:t>
      </w:r>
    </w:p>
    <w:p w14:paraId="5F73E061">
      <w:pPr>
        <w:spacing w:after="60"/>
        <w:jc w:val="center"/>
      </w:pPr>
      <w:r>
        <w:drawing>
          <wp:inline distT="0" distB="0" distL="0" distR="0">
            <wp:extent cx="5486400" cy="542925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43C24">
      <w:pPr>
        <w:jc w:val="center"/>
      </w:pPr>
      <w:r>
        <w:rPr>
          <w:rFonts w:ascii="Cambria" w:hAnsi="Cambria" w:eastAsia="ＭＳ 明朝" w:cs="Cambria" w:asciiTheme="minorHAnsi" w:hAnsiTheme="minorHAnsi" w:eastAsiaTheme="minorEastAsia"/>
          <w:i/>
          <w:iCs/>
          <w:sz w:val="22"/>
          <w:szCs w:val="22"/>
        </w:rPr>
        <w:t>Figura 1 — Arquitectura del agente de dosis seguras (loop razonamiento-acción).</w:t>
      </w:r>
    </w:p>
    <w:p w14:paraId="55A768B1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Nota. Diagrama de arquitectura; fuente reproducible: scripts/render_diagramas.py.</w:t>
      </w:r>
    </w:p>
    <w:p w14:paraId="043C0C6C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Los componentes clave son: (a) cliente LLM intercambiable (agent/llm_client.py: Groq gpt-oss-120b, ClienteFalso y ClienteLangChain alternativo); (b) Recuperador ChromaDB que lee EMBEDDING_MODEL del entorno y avisa re-ejecutar la ingesta si falta la colección; (c) validación pre-loop (agent/validacion.py: especies perro/gato/conejo, rangos perro [0,1, 200], gato [0,1, 50], conejo [0,1, 10], coherencia ficha-vs-input, fármaco obligatorio); (d) guardrails post-LLM (la negativa REEMPLAZA el texto del modelo; la alerta severa se antepone); (e) Trazador JSONL transversal. Para la demostración hay CLI (main.py con --pasos y --falso), notebook con cuatro casos y una interfaz Streamlit (app.py) con peso máximo dinámico por especie y los dos casos del guión. Como observabilidad opcional se integró LangSmith activo solo con LANGSMITH_API_KEY (sin clave es no-op).</w:t>
      </w:r>
    </w:p>
    <w:p w14:paraId="6545708C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Documentación Técnica: Decisiones y Validación</w:t>
      </w:r>
    </w:p>
    <w:p w14:paraId="66224405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El proyecto se desarrolló por fases en un repositorio (ep1-veterinaria-agente, uv + Python 3.13) con tests por fase (13/13) y un conjunto de 14 casos (tests/eval_dataset.json) que cubre dosis por especie/peso, alertas severas, moderadas y leves, negativas por dato inexistente y citas. Resultado: 14/14 (100%) sobre la meta de 85%, con ClienteFalso determinista. En la corrección pre-entrega se agregó tests/conftest.py (pytest desde cualquier directorio) y se simplificó la UI con el peso máximo por especie.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320"/>
        <w:gridCol w:w="4320"/>
      </w:tblGrid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6E48B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Decisión (alternativa descartada)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F1E0A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Justificación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254B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Loop propio sin LangGraph (D8)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A86C8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Control total de guardrails y trazabilidad; el LLM nunca decide seguridad, solo redacta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0852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ChromaDB sobre FAISS (D3)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AB128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Filtro nativo por metadata de especie; en FAISS el filtrado debe simularse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BCC5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Guardrails en código, no en prompt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CAD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La negativa reemplaza la salida del modelo: cero riesgo de cifra inventada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11713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Validación pre-loop bloqueante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D6E8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Rechaza entradas inseguras antes de RAG/LLM, sin costo ni riesgo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916E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Cliente falso determinista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ACA3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Tests y evals reproducibles sin cuota; el LLM real se valida aparte con Groq</w:t>
            </w:r>
          </w:p>
        </w:tc>
      </w:tr>
    </w:tbl>
    <w:p w14:paraId="0D485700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Como evidencia de robustez de la arquitectura base, se construyó un segundo prototipo con el mismo esqueleto (ep1-ecoturismo-agente: RAG de paquetes, clima real, replanificador determinista) que obtuvo 12/12 (100%); la superficie reutilizada fue de ~100 líneas (cliente LLM, trazador y recuperador).</w:t>
      </w:r>
    </w:p>
    <w:p w14:paraId="513885BF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Conclusiones</w:t>
      </w:r>
    </w:p>
    <w:p w14:paraId="318EA3DA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El agente cumple los cinco requerimientos: recupera ficha y guía con RAG filtrable, calcula el rango seguro, verifica interacciones, cita la fuente de cada decisión y registra trazabilidad, con 100% en los 14 casos (meta 85%). Las limitaciones son conocidas: la guía es un dataset curado de referencia (no sustituye a Plumb's ni a la ficha vigente) y la salida es apoyo al veterinario, no prescripción; además la cuota Groq (200k tokens/día) obliga al modelo rápido en desarrollo. Como trabajo futuro: ampliar la guía con más fármacos y contraindicaciones por alergia.</w:t>
      </w:r>
    </w:p>
    <w:p w14:paraId="401AE43F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Reflexión individual — Benjamín Ibáñez</w:t>
      </w:r>
    </w:p>
    <w:p w14:paraId="76B11C2E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Con la creación de este prototipo aprendí mas sobre LLM y RAG, entendí que juntar ambos puede servir para crear un poderoso agente que sirva para resolver problemas de la vida real sin que este necesariamente tenga el mismo funcionamiento y RIESGO de usar un chat de IA convencional como por ej. ChatGPT o Gemini. Estos agentes pueden ser altamente configurados, personalizados y estructurados para cualquier contexto y pueden facilitar cosas sin necesariamente “reemplazar” el trabajo humano. Lo más difícil para mi durante este proyecto fue la selección del caso/contexto y la planificación para el agente, empecé con un caso real de la empresa Oxford (https://oxfordstore.cl/), después pasé a la idea de un agente que ayude a la gente a planificar viajes de turismo considerando varios factores reales como las predicciones del clima y terminé quedándome con el contexto de una veterinaria por simplicidad y falta de tiempo.</w:t>
      </w:r>
    </w:p>
    <w:p w14:paraId="6DAA46B5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Declaración de uso de IA</w:t>
      </w:r>
      <w:r>
        <w:t xml:space="preserve">  </w:t>
      </w:r>
    </w:p>
    <w:p w14:paraId="43A4CB2C">
      <w:pPr>
        <w:spacing w:after="160"/>
      </w:pPr>
      <w:r>
        <w:rPr>
          <w:rFonts w:ascii="Cambria" w:hAnsi="Cambria" w:cs="Cambria"/>
          <w:sz w:val="22"/>
          <w:szCs w:val="22"/>
        </w:rPr>
        <w:t>Se usó asistencia de IA para redacción y código inicial base del proyecto; todo contenido generado fue revisado y validado. Las conclusiones, justificaciones técnicas y la reflexión individual son de autoría propia, sin apoyo de IA.</w:t>
      </w:r>
    </w:p>
    <w:p w14:paraId="07CFE3E5">
      <w:r>
        <w:t xml:space="preserve">  </w:t>
      </w:r>
    </w:p>
    <w:p w14:paraId="62E6F9FD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Referencias</w:t>
      </w:r>
    </w:p>
    <w:p w14:paraId="61BCE9E4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Lewis, P., Perez, E., Piktus, A., Petroni, F., Karpukhin, V., Goyal, N., Küttler, H., Lewis, M., Yih, W., Rocktäschel, T., Riedel, S., &amp; Kiela, D. (2020). Retrieval-augmented generation for knowledge-intensive NLP tasks. Advances in Neural Information Processing Systems, 33, 9459–9474.</w:t>
      </w:r>
    </w:p>
    <w:p w14:paraId="7637DD10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Reimers, N., &amp; Gurevych, I. (2019). Sentence-BERT: Sentence embeddings using Siamese BERT-networks. Proceedings of EMNLP-IJCNLP, 3982–3992.</w:t>
      </w:r>
    </w:p>
    <w:p w14:paraId="0FF40B26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Yao, S., Zhao, J., Yu, D., Du, N., Shafran, I., Narasimhan, K., &amp; Cao, Y. (2023). ReAct: Synergizing reasoning and acting in language models. International Conference on Learning Representations.</w:t>
      </w:r>
    </w:p>
    <w:sectPr>
      <w:pgSz w:w="12240" w:h="15840"/>
      <w:pgMar w:top="1440" w:right="1800" w:bottom="1440" w:left="180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" Type="http://schemas.openxmlformats.org/officeDocument/2006/relationships/image" Target="media/image1.png"/><Relationship Id="rId101" Type="http://schemas.openxmlformats.org/officeDocument/2006/relationships/image" Target="media/image2.png"/><Relationship Id="rId10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2026-09-11T00:16:35.219Z</dcterms:modified>
  <cp:category/>
</cp:coreProperties>
</file>