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0" w:line="26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400" w:line="264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DiseÃ±o de una SoluciÃ³n con Agente LLM y RAG para la ReplanificaciÃ³n AutomÃ¡tica de Itinerarios de Ecoturismo</w:t>
      </w:r>
    </w:p>
    <w:p>
      <w:pPr>
        <w:spacing w:after="200" w:line="264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Informe TÃ©cnico â€” EvaluaciÃ³n Parcial NÂ°1 (30%)</w:t>
      </w:r>
    </w:p>
    <w:p>
      <w:pPr>
        <w:spacing w:after="1000" w:line="264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ISY0101 â€” IngenierÃ­a de Soluciones con IA</w:t>
      </w:r>
    </w:p>
    <w:p>
      <w:pPr>
        <w:spacing w:after="80" w:line="264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[Integrante 1], [Integrante 2]</w:t>
      </w:r>
    </w:p>
    <w:p>
      <w:pPr>
        <w:spacing w:after="80" w:line="264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Docente: [Nombre del docente]</w:t>
      </w:r>
    </w:p>
    <w:p>
      <w:pPr>
        <w:spacing w:after="80" w:line="264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DUOC UC</w:t>
      </w:r>
    </w:p>
    <w:p>
      <w:pPr>
        <w:spacing w:after="80" w:line="264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Septiembre de 2026</w:t>
      </w:r>
    </w:p>
    <w:p>
      <w:r>
        <w:br w:type="page"/>
      </w:r>
    </w:p>
    <w:p>
      <w:pPr>
        <w:pStyle w:val="Heading1"/>
        <w:spacing w:after="60" w:before="1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AnÃ¡lisis del Caso Organizacional</w:t>
      </w:r>
    </w:p>
    <w:p>
      <w:pPr>
        <w:spacing w:after="80" w:line="26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La organizaciÃ³n del caso es una agencia boutique de ecoturismo del sur de Chile que arma itinerarios personalizados (kayak, trekking, ciclismo, observaciÃ³n de fauna) en Los Lagos, AraucanÃ­a y Magallanes. Su operaciÃ³n depende de condiciones variables: senderos que CONAF cierra por mantenimiento o clima, frentes de lluvia y viento en la Patagonia, y guÃ­as con agenda acotada. Hoy el armado es manual: un operador revisa planillas de paquetes, consulta el clima y llama a los guÃ­as, y cuando algo falla replanifica a mano, con demoras y riesgo de ofrecer itinerarios inviables.</w:t>
      </w:r>
    </w:p>
    <w:p>
      <w:pPr>
        <w:spacing w:after="80" w:line="26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Los requerimientos especÃ­ficos que la soluciÃ³n debe cubrir son: (1) recuperar internamente los paquetes que calzan con el perfil del cliente; (2) verificar fuentes externas antes de proponer (clima real y estado de senderos); (3) ante un conflicto, replanificar eligiendo una alternativa viable, no solo informar el problema; (4) citar la fuente que respalda cada decisiÃ³n del itinerario; y (5) registrar trazabilidad de cada paso. El objetivo medible fijado fue un agente que resuelva estos cinco puntos con una tasa de acierto igual o superior a 85% en un conjunto de evaluaciÃ³n con casos de conflicto y sin conflicto.</w:t>
      </w:r>
    </w:p>
    <w:p>
      <w:pPr>
        <w:spacing w:after="80" w:line="26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La motivaciÃ³n para usar agentes con LLM y RAG es que el problema es conversacional y multipaso: entender un pedido en lenguaje natural, decidir quÃ© verificar, usar herramientas y replanificar. Un LLM solo no basta (inventa disponibilidad y clima); el RAG acota al contexto verificado y las herramientas dan datos externos reales, con el loop de razonamiento-acciÃ³n como controlador explÃ­cito.</w:t>
      </w:r>
    </w:p>
    <w:p>
      <w:pPr>
        <w:pStyle w:val="Heading1"/>
        <w:spacing w:after="60" w:before="1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FormulaciÃ³n de Prompts</w:t>
      </w:r>
    </w:p>
    <w:p>
      <w:pPr>
        <w:spacing w:after="80" w:line="26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Los prompts viven en agent/prompts.py y se componen de dos partes. El prompt de sistema (SISTEMA_BASE) fija el rol â€”asesor de una agencia boutiqueâ€” y reglas duras: responder solo con el contexto recuperado, citar cada afirmaciÃ³n con [F#] para fragmentos recuperados y [T#] para resultados de herramientas, y si el contexto no alcanza, decirlo en vez de inventar. El prompt de usuario se arma por plantilla (PLANTILLA_USUARIO/funciÃ³n armar_usuario) con el pedido del cliente, los fragmentos numerados y los resultados de herramientas, de modo que cada cita apunte a un bloque identificable.</w:t>
      </w:r>
    </w:p>
    <w:p>
      <w:pPr>
        <w:spacing w:after="80" w:line="26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Para la replanificaciÃ³n se sumÃ³ un segundo prompt de sistema (SISTEMA_REPLAN) que solo se activa cuando hubo conflicto: obliga a explicar por quÃ© se descartÃ³ el plan original y a citar las fuentes de la alternativa. Se eligieron temperaturas bajas (0.2) y lÃ­mite de salida (1.024 tokens) para respuestas deterministas y breves. La justificaciÃ³n de esta redacciÃ³n es directa sobre los requerimientos: sin citas obligatorias el encargo de trazabilidad no se cumple, y sin la regla de negaciÃ³n honesta el modelo tiende a fabricar disponibilidad de guÃ­as.</w:t>
      </w:r>
    </w:p>
    <w:p>
      <w:r>
        <w:br w:type="page"/>
      </w:r>
    </w:p>
    <w:p>
      <w:pPr>
        <w:pStyle w:val="Heading1"/>
        <w:spacing w:after="60" w:before="1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Pipeline RAG: Fuentes Internas y Externas</w:t>
      </w:r>
    </w:p>
    <w:p>
      <w:pPr>
        <w:spacing w:after="80" w:line="26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La base de conocimiento interna son 9 paquetes turÃ­sticos (PAQ-001 a PAQ-009, en JSON: regiÃ³n, actividad, dificultad, temporada, guÃ­a asignado, itinerario por dÃ­as con senderos) y un roster de 5 guÃ­as (GUI-001 a GUI-005) con fechas de disponibilidad en formato ISO. La ingesta (ingestion/ingest.py) divide los documentos en fragmentos de 500 caracteres con solapamiento de 50, los vectoriza con el modelo local multilingÃ¼e paraphrase-multilingual-MiniLM-L12-v2 (elegido porque el contenido estÃ¡ en espaÃ±ol) y los indexa en ChromaDB persistente (24 documentos) con metadata que permite filtros por tipo, regiÃ³n, actividad y dificultad.</w:t>
      </w:r>
    </w:p>
    <w:p>
      <w:pPr>
        <w:spacing w:after="80" w:line="26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La recuperaciÃ³n del agente es hÃ­brida por diseÃ±o, combinando bÃºsqueda semÃ¡ntica con filtros estructurados: la consulta del cliente recupera el paquete top-1 (k=5), y cada verificaciÃ³n usa filtros de metadata exactos â€”por ejemplo, el Replanificador reconsulta con k=8 y descarta el paquete conflictado. Las fuentes externas se integran como herramientas dentro del loop, no como documentos del Ã­ndice: el clima real se obtiene de Open-Meteo (sin API key; fuera del rango de pronÃ³stico devuelve disponible=False sin inventar datos) y el estado de 14 senderos desde un archivo externo que replica la consulta al sistema de CONAF. La disponibilidad de guÃ­as se expone como tercera herramienta que consulta el roster interno y responde solo con fechas exactas.</w:t>
      </w:r>
    </w:p>
    <w:p>
      <w:pPr>
        <w:spacing w:after="80" w:line="26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El flujo de informaciÃ³n es: pedido del cliente â†’ RAG (paquete candidato) â†’ verificaciÃ³n secuencial de senderos, clima y guÃ­a â†’ si todo calza, respuesta con citas; si hay conflicto, el Replanificador reconsulta y evalÃºa candidatos (temporada, senderos, clima, guÃ­a) â†’ el LLM redacta el itinerario final citando cada decisiÃ³n. La tabla 1 resume las decisiones de implementaciÃ³n del pipeline.</w:t>
      </w:r>
    </w:p>
    <w:p>
      <w:pPr>
        <w:spacing w:after="40" w:before="120" w:line="264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Tabla 1</w:t>
      </w:r>
    </w:p>
    <w:p>
      <w:pPr>
        <w:spacing w:after="60" w:line="264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Decisiones de implementaciÃ³n del pipeline RAG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c>
          <w:tcPr>
            <w:tcW w:type="dxa" w:w="28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DecisiÃ³n</w:t>
            </w:r>
          </w:p>
        </w:tc>
        <w:tc>
          <w:tcPr>
            <w:tcW w:type="dxa" w:w="6226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JustificaciÃ³n</w:t>
            </w:r>
          </w:p>
        </w:tc>
      </w:tr>
      <w:tr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ChromaDB persistente con filtros de metadata</w:t>
            </w:r>
          </w:p>
        </w:tc>
        <w:tc>
          <w:tcPr>
            <w:tcW w:type="dxa" w:w="62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Filtrado estructurado por regiÃ³n/actividad/dificultad, requisito del caso; FAISS ofrece solo bÃºsqueda vectorial plana</w:t>
            </w:r>
          </w:p>
        </w:tc>
      </w:tr>
      <w:tr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Embeddings locales MiniLM-L12-v2</w:t>
            </w:r>
          </w:p>
        </w:tc>
        <w:tc>
          <w:tcPr>
            <w:tcW w:type="dxa" w:w="62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Corpus en espaÃ±ol; costo cero y datos privados frente a APIs de embeddings</w:t>
            </w:r>
          </w:p>
        </w:tc>
      </w:tr>
      <w:tr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Chunking 500/50 por pÃ¡rrafos</w:t>
            </w:r>
          </w:p>
        </w:tc>
        <w:tc>
          <w:tcPr>
            <w:tcW w:type="dxa" w:w="62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Visto en clases; paquetes son documentos cortos con secciones (itinerario por dÃ­a)</w:t>
            </w:r>
          </w:p>
        </w:tc>
      </w:tr>
      <w:tr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Fuentes externas como tools, no como Ã­ndice</w:t>
            </w:r>
          </w:p>
        </w:tc>
        <w:tc>
          <w:tcPr>
            <w:tcW w:type="dxa" w:w="62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Clima y disponibilidad cambian a diario; deben consultarse en vivo en cada respuesta, no cachearse en el Ã­ndice</w:t>
            </w:r>
          </w:p>
        </w:tc>
      </w:tr>
    </w:tbl>
    <w:p>
      <w:r>
        <w:br w:type="page"/>
      </w:r>
    </w:p>
    <w:p>
      <w:pPr>
        <w:pStyle w:val="Heading1"/>
        <w:spacing w:after="60" w:before="1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Arquitectura de la SoluciÃ³n</w:t>
      </w:r>
    </w:p>
    <w:p>
      <w:pPr>
        <w:spacing w:after="80" w:line="26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La Figura 1 presenta la arquitectura. El nÃºcleo es un loop de razonamiento-acciÃ³n propio (agent/reasoning_loop.py) que orquesta: recuperaciÃ³n RAG, llamadas a herramientas de verificaciÃ³n, el mÃ³dulo Replanificador ante conflictos, y la generaciÃ³n final del LLM. Cada paso se registra en un log de trazabilidad JSONL (logs/trace.jsonl) con paso, tipo de evento y hora UTC: quÃ© recuperÃ³, quÃ© herramienta llamÃ³, por quÃ© replanificÃ³ y quÃ© fuente respalda cada afirmaciÃ³n.</w:t>
      </w:r>
    </w:p>
    <w:p>
      <w:pPr>
        <w:spacing w:after="40" w:before="60" w:line="264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Figura 1</w:t>
      </w:r>
    </w:p>
    <w:p>
      <w:pPr>
        <w:spacing w:after="60" w:line="264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Arquitectura del agente replanificador</w:t>
      </w:r>
    </w:p>
    <w:p>
      <w:pPr>
        <w:pBdr>
          <w:top w:val="single" w:color="BBBBBB" w:sz="4"/>
          <w:bottom w:val="single" w:color="BBBBBB" w:sz="4"/>
          <w:left w:val="single" w:color="BBBBBB" w:sz="4"/>
          <w:right w:val="single" w:color="BBBBBB" w:sz="4"/>
        </w:pBdr>
        <w:shd w:fill="F2F2F2" w:val="clear"/>
        <w:spacing w:after="60"/>
      </w:pPr>
      <w:r>
        <w:rPr>
          <w:rFonts w:ascii="Consolas" w:cs="Consolas" w:eastAsia="Consolas" w:hAnsi="Consolas"/>
          <w:sz w:val="13"/>
          <w:szCs w:val="13"/>
        </w:rPr>
        <w:t xml:space="preserve">flowchart TD
    A["Pedido del cliente&lt;br/&gt;actividad + fecha"] --&gt; B["Recuperador RAG&lt;br/&gt;paquete top-1 (ChromaDB)"]
    B --&gt; C1["VerificaciÃ³n senderos&lt;br/&gt;trail_status.json"]
    B --&gt; C2["VerificaciÃ³n clima&lt;br/&gt;Open-Meteo"]
    B --&gt; C3["VerificaciÃ³n guÃ­a&lt;br/&gt;roster de disponibilidad"]
    C1 &amp; C2 &amp; C3 --&gt; D{"Â¿Conflicto?"}
    D -- "no" --&gt; J["LLM (Groq) + SISTEMA_BASE&lt;br/&gt;itinerario con citas F#/T#"]
    D -- "sÃ­" --&gt; R["Replanificador&lt;br/&gt;reconsulta k=8 y evalÃºa&lt;br/&gt;temporada + senderos + clima + guÃ­a"]
    R --&gt; Q{"Â¿Alternativa viable?"}
    Q -- "sÃ­" --&gt; L["LLM + SISTEMA_REPLAN&lt;br/&gt;explica cambio y cita fuentes"]
    Q -- "no" --&gt; M["Respuesta honesta&lt;br/&gt;sin alternativa inventada"]
    J --&gt; N["Itinerario final +&lt;br/&gt;trace.jsonl por paso"]
    L --&gt; N
    M --&gt; N</w:t>
      </w:r>
    </w:p>
    <w:p>
      <w:pPr>
        <w:spacing w:after="140" w:line="264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Nota. Diagrama en sintaxis Mermaid; renderizable en GitHub y en el README del repositorio.</w:t>
      </w:r>
    </w:p>
    <w:p>
      <w:pPr>
        <w:spacing w:after="80" w:line="26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Los componentes clave y su integraciÃ³n son: (a) cliente LLM intercambiable (agent/llm_client.py) que abstrae Groq gpt-oss-120b y permite sustituir el proveedor con una lÃ­nea; (b) Recuperador (ChromaDB + embeddings locales); (c) tres herramientas de verificaciÃ³n con contratos tipados (estado del sendero, clima con umbrales explÃ­citos de lluvia â‰¥10 mm, viento â‰¥50 km/h y mÃ­nima â‰¤-2 Â°C, y disponibilidad de guÃ­a); (d) Replanificador (tools/replanner.py) con criterio determinista de elecciÃ³n; (e) capa de prompts con el par SISTEMA_BASE/SISTEMA_REPLAN; y (f) el Trazador JSONL transversal. Para la demostraciÃ³n se implementÃ³ una CLI (main.py con banderas --fecha, --pasos y --falso) y un notebook con cinco casos, incluyendo una replanificaciÃ³n y una replanificaciÃ³n fallida.</w:t>
      </w:r>
    </w:p>
    <w:p>
      <w:r>
        <w:br w:type="page"/>
      </w:r>
    </w:p>
    <w:p>
      <w:pPr>
        <w:pStyle w:val="Heading1"/>
        <w:spacing w:after="60" w:before="1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DocumentaciÃ³n TÃ©cnica: Decisiones y ValidaciÃ³n</w:t>
      </w:r>
    </w:p>
    <w:p>
      <w:pPr>
        <w:spacing w:after="80" w:line="26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El proyecto se desarrollÃ³ por fases en un repositorio (ep1-ecoturismo-agente, uv + Python 3.13) con tests unitarios por fase (10/10) y un conjunto de evaluaciÃ³n de 12 casos (tests/eval_dataset.json) que cubre: consultas sin conflicto, replanificaciÃ³n por sendero cerrado, por clima adverso, por guÃ­a no disponible y por temporada, casos sin alternativa viable (donde se espera respuesta honesta) y verificaciÃ³n de citas. Las expectativas se escribieron tras sondear el comportamiento real del agente, no de forma teÃ³rica. El resultado fue 12/12 casos correctos (100%), sobre la meta de 85%, ejecutado con un cliente falso determinista para reproducibilidad sin cuota.</w:t>
      </w:r>
    </w:p>
    <w:p>
      <w:pPr>
        <w:spacing w:after="40" w:before="120" w:line="264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Tabla 2</w:t>
      </w:r>
    </w:p>
    <w:p>
      <w:pPr>
        <w:spacing w:after="60" w:line="264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Decisiones de diseÃ±o y su justificaciÃ³n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0"/>
        <w:gridCol w:w="5976"/>
      </w:tblGrid>
      <w:tr>
        <w:tc>
          <w:tcPr>
            <w:tcW w:type="dxa" w:w="305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DecisiÃ³n (alternativa descartada)</w:t>
            </w:r>
          </w:p>
        </w:tc>
        <w:tc>
          <w:tcPr>
            <w:tcW w:type="dxa" w:w="5976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JustificaciÃ³n</w:t>
            </w:r>
          </w:p>
        </w:tc>
      </w:tr>
      <w:tr>
        <w:tc>
          <w:tcPr>
            <w:tcW w:type="dxa" w:w="30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Loop propio sin LangGraph (D8)</w:t>
            </w:r>
          </w:p>
        </w:tc>
        <w:tc>
          <w:tcPr>
            <w:tcW w:type="dxa" w:w="597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Control total de la trazabilidad por paso (requisito del encargo); LangGraph agrega una capa innecesaria para un solo agente</w:t>
            </w:r>
          </w:p>
        </w:tc>
      </w:tr>
      <w:tr>
        <w:tc>
          <w:tcPr>
            <w:tcW w:type="dxa" w:w="30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ChromaDB sobre FAISS (D3)</w:t>
            </w:r>
          </w:p>
        </w:tc>
        <w:tc>
          <w:tcPr>
            <w:tcW w:type="dxa" w:w="597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Filtro nativo por metadata; en FAISS el filtrado debe simularse, con riesgo de k insuficiente</w:t>
            </w:r>
          </w:p>
        </w:tc>
      </w:tr>
      <w:tr>
        <w:tc>
          <w:tcPr>
            <w:tcW w:type="dxa" w:w="30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ReplanificaciÃ³n determinista en cÃ³digo</w:t>
            </w:r>
          </w:p>
        </w:tc>
        <w:tc>
          <w:tcPr>
            <w:tcW w:type="dxa" w:w="597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El criterio viable/no viable se evalÃºa con reglas explÃ­citas; el LLM solo redacta, no decide</w:t>
            </w:r>
          </w:p>
        </w:tc>
      </w:tr>
      <w:tr>
        <w:tc>
          <w:tcPr>
            <w:tcW w:type="dxa" w:w="30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Cliente falso determinista</w:t>
            </w:r>
          </w:p>
        </w:tc>
        <w:tc>
          <w:tcPr>
            <w:tcW w:type="dxa" w:w="597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Tests y evals reproducibles sin cuota; el LLM real se valida aparte con la API de Groq</w:t>
            </w:r>
          </w:p>
        </w:tc>
      </w:tr>
    </w:tbl>
    <w:p>
      <w:pPr>
        <w:spacing w:after="80" w:before="160" w:line="26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Como evidencia de robustez de la arquitectura base, se construyÃ³ un segundo prototipo con el mismo esqueleto (ep1-veterinaria-agente: RAG de fichas clÃ­nicas, calculadora de dosis mg/kg y verificador de interacciones con guardrails post-LLM) que obtuvo 14/14 casos (100%) en sus evals; la superficie reutilizada fue de aproximadamente 100 lÃ­neas (cliente LLM, trazador y recuperador), validando la decisiÃ³n de separar la arquitectura del dominio.</w:t>
      </w:r>
    </w:p>
    <w:p>
      <w:pPr>
        <w:pStyle w:val="Heading1"/>
        <w:spacing w:after="60" w:before="1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Conclusiones</w:t>
      </w:r>
    </w:p>
    <w:p>
      <w:pPr>
        <w:spacing w:after="80" w:line="26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El agente cumple los cinco requerimientos: recupera paquetes con RAG filtrable, verifica fuentes externas en vivo, replanifica automÃ¡ticamente con criterio auditable, cita la fuente de cada decisiÃ³n y registra trazabilidad por paso, con 100% de acierto en los 12 casos de evaluaciÃ³n (meta 85%). Las limitaciones son conocidas y documentadas: el estado de senderos es una fuente simulada (CONAF no ofrece API pÃºblica) y Open-Meteo no cubre fechas a mÃ¡s de unos 16 dÃ­as, caso en el que el clima no se evalÃºa y la decisiÃ³n queda respaldada por las demÃ¡s fuentes. Como trabajo futuro: integrar la API de reservas de guÃ­as en lugar del roster estÃ¡tico y ampliar los evals con casos adversarios de redacciÃ³n.</w:t>
      </w:r>
    </w:p>
    <w:p>
      <w:pPr>
        <w:pStyle w:val="Heading1"/>
        <w:spacing w:after="60" w:before="1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Referencias</w:t>
      </w:r>
    </w:p>
    <w:p>
      <w:pPr>
        <w:spacing w:after="80" w:line="240"/>
        <w:ind w:left="720" w:hanging="7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Lewis, P., Perez, E., Piktus, A., Petroni, F., Karpukhin, V., Goyal, N., KÃ¼ttler, H., Lewis, M., Yih, W., RocktÃ¤schel, T., Riedel, S., &amp; Kiela, D. (2020). Retrieval-augmented generation for knowledge-intensive NLP tasks. Advances in Neural Information Processing Systems, 33, 9459â€“9474.</w:t>
      </w:r>
    </w:p>
    <w:p>
      <w:pPr>
        <w:spacing w:after="80" w:line="240"/>
        <w:ind w:left="720" w:hanging="7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Open-Meteo. (2026). Open-Meteo API: Free weather forecast API for non-commercial use. https://open-meteo.com/</w:t>
      </w:r>
    </w:p>
    <w:p>
      <w:pPr>
        <w:spacing w:after="80" w:line="240"/>
        <w:ind w:left="720" w:hanging="7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Reimers, N., &amp; Gurevych, I. (2019). Sentence-BERT: Sentence embeddings using Siamese BERT-networks. Proceedings of EMNLP-IJCNLP, 3982â€“3992.</w:t>
      </w:r>
    </w:p>
    <w:p>
      <w:pPr>
        <w:spacing w:after="80" w:line="240"/>
        <w:ind w:left="720" w:hanging="7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Yao, S., Zhao, J., Yu, D., Du, N., Shafran, I., Narasimhan, K., &amp; Cao, Y. (2023). ReAct: Synergizing reasoning and acting in language models. International Conference on Learning Representations.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t xml:space="preserve"/>
    </w: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â€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2026-09-05T00:57:58.309Z</dcterms:created>
  <dcterms:modified xsi:type="dcterms:W3CDTF">2026-09-05T00:57:58.311Z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