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4"/>
          <w:szCs w:val="34"/>
        </w:rPr>
        <w:t xml:space="preserve">Agente coordinador de búsqueda y rescate andino: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8"/>
          <w:szCs w:val="28"/>
        </w:rPr>
        <w:t xml:space="preserve">planificación adaptativa con LangGraph, memoria y RAG</w:t>
      </w:r>
    </w:p>
    <w:p>
      <w:pPr>
        <w:spacing w:after="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570"/>
          <w:sz w:val="20"/>
          <w:szCs w:val="20"/>
        </w:rPr>
        <w:t xml:space="preserve">Evaluación Parcial 2 · ISY0101 Ingeniería de Soluciones con IA</w:t>
      </w:r>
    </w:p>
    <w:p>
      <w:pPr>
        <w:spacing w:after="1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19"/>
          <w:szCs w:val="19"/>
        </w:rPr>
        <w:t xml:space="preserve">[Nombre 1] y [Nombre 2] · Sección [Sección] · Docente: [Docente]</w:t>
      </w:r>
    </w:p>
    <w:p>
      <w:pPr>
        <w:spacing w:after="3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570"/>
          <w:sz w:val="19"/>
          <w:szCs w:val="19"/>
        </w:rPr>
        <w:t xml:space="preserve">19 de octubre de 2026</w:t>
      </w:r>
    </w:p>
    <w:p>
      <w:pPr>
        <w:pBdr>
          <w:bottom w:val="single" w:color="1F3A5F" w:sz="6" w:space="6"/>
        </w:pBdr>
        <w:spacing w:after="1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B6570"/>
          <w:sz w:val="18"/>
          <w:szCs w:val="18"/>
        </w:rPr>
        <w:t xml:space="preserve">Repositorio: https://github.com/beibanezv/ep2-rescate-agente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6"/>
          <w:szCs w:val="26"/>
        </w:rPr>
        <w:t xml:space="preserve">Resumen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Este informe presenta un agente que convierte el reporte de una persona desaparecida en un plan de búsqueda por fases y lo replanifica cuando el clima invalida la ventana de un medio. La decisión se calcula con código determinista y seis tools de dominio; un grafo LangGraph de cinco nodos orquesta contexto, cálculo, publicación, redacción y memoria. El modelo de lenguaje solo redacta el parte. El agente conserva memoria de sesión, recupera protocolo y criterios por búsqueda semántica y publica planes validados. Se verificó con 11 pruebas y dos actos end-to-end: el plan v1 asigna helicóptero y dron dentro de su ventana; el plan v2 los descarta por viento y refuerza el barrido terrestre.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6"/>
          <w:szCs w:val="26"/>
        </w:rPr>
        <w:t xml:space="preserve">1. Introducción y contexto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La coordinación de un operativo de búsqueda y rescate (SAR) exige priorizar zonas, asignar medios y justificar cada decisión ante un protocolo. En un caso real, el pronóstico cambia y obliga a replanificar. El objetivo de este trabajo es construir un agente que reciba el reporte, consulte los datos del caso y produzca un plan trazable, con memoria entre turnos y capacidad de adaptarse a un evento de viento.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El caso simulado ocurre en la noche del 17 al 18 de octubre de 2026 en El Morado. La ficha indica último contacto en el mirador (Z-2), ruta declarada y una persona sin equipo técnico. El corpus fija prioridades y reglas de viabilidad. La contribución es un flujo que separa decisión (Python) de narración (LLM), con herramientas de lectura y una tool de escritura que valida antes de persistir.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6"/>
          <w:szCs w:val="26"/>
        </w:rPr>
        <w:t xml:space="preserve">2. Arquitectura y orquestación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El flujo se implementa en agent/grafo.py con LangGraph (LangChain, 2026). El estado EstadoPlan es un TypedDict que viaja por cinco nodos: contexto, calcular, publicar, redactar y memorizar (Figura 1). contexto recupera el plan previo de la sesión, arma los hechos de tools ([T#]) y busca fragmentos del corpus ([F#]). calcular aplica la fórmula de prioridad y construye las fases. publicar llama a publicar_plan, que valida y escribe data/planes/plan-vN.json. redactar pide al LLM el parte narrativo con el plan ya publicado. memorizar registra el turno en el buffer y en Chroma.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La orquestación con LangGraph se eligió frente a CrewAI porque el problema es un pipeline con estado explícito y control determinista, no una conversación entre roles. LangGraph permite inspeccionar el estado, imponer el orden y trazar cada nodo; una tripulación de agentes habría añadido variabilidad y costo sin mejorar la decisión. El grafo se compila una vez en AgenteRastreo.__init__ y planificar() lo invoca, de modo que el CLI y las pruebas usan el mismo camino.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El LLM no decide: recibe el plan validado y redacta. En producción se usa ClienteLangChain con Groq openai/gpt-oss-120b (Groq, 2026); en pruebas y evidencia se usa ClienteFalso, determinista y sin cuota. LangSmith es opcional y se activa solo si hay LANGSMITH_API_KEY.</w:t>
      </w:r>
    </w:p>
    <w:p>
      <w:pPr>
        <w:pStyle w:val="Heading2"/>
        <w:spacing w:after="5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2.1 Separación entre decisión y narración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La separación responde a un requisito de auditoría: cada fase debe poder reconstruirse desde los JSON y el protocolo, sin depender del muestreo del LLM. Por eso calcular y publicar son funciones deterministas sobre datos versionados; redactar recibe el plan ya escrito y no puede alterarlo. Esta frontera también abarata las pruebas: el grafo se ejecuta con ClienteFalso y produce el mismo plan que con Groq, porque el plan no pasa por el modelo.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El estado EstadoPlan hace explícito el contrato entre nodos: version, sesion_id, consulta, recuerdo, herramientas, fragmentos, fases, prioridad, motivo, citas, plan, archivo, parte, fuentes, cito_plan_previo y archivo_trace. Cada nodo lee lo anterior y agrega su salida; LangGraph conserva el esquema y la trazabilidad.</w:t>
      </w:r>
    </w:p>
    <w:p>
      <w:pPr>
        <w:spacing w:after="20" w:before="80"/>
        <w:jc w:val="center"/>
      </w:pPr>
      <w:r>
        <w:drawing>
          <wp:inline distT="0" distB="0" distL="0" distR="0">
            <wp:extent cx="581025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B6570"/>
          <w:sz w:val="18"/>
          <w:szCs w:val="18"/>
        </w:rPr>
        <w:t xml:space="preserve">Figura 1. Arquitectura del agente. El grafo LangGraph orquesta cinco nodos; las tools leen los JSON y el corpus, y publicar_plan valida antes de escribir.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6"/>
          <w:szCs w:val="26"/>
        </w:rPr>
        <w:t xml:space="preserve">3. Tools, autonomía y guardrails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El agente dispone de seis tools (Tabla 1). Las de lectura exponen el caso, las zonas, el pronóstico y los equipos. viabilidad_medio codifica el protocolo §3: HEL-1 requiere viento &lt; 35 km/h y visibilidad &gt; 5 km; DR-1 tolera hasta 40 km/h; ambos solo operan de día (06:00–18:00); las brigadas y K9 no ingresan sobre 3000 m sin aclimatación. publicar_plan es la única tool de escritura: valida versión, fases, franjas ISO, zonas y medios contra los JSON, y rechaza cualquier estructura inválida antes de escribir.</w:t>
      </w:r>
    </w:p>
    <w:tbl>
      <w:tblPr>
        <w:tblW w:type="dxa" w:w="9300"/>
        <w:tblBorders>
          <w:top w:val="single" w:color="C9D1D9" w:sz="4"/>
          <w:left w:val="single" w:color="C9D1D9" w:sz="4"/>
          <w:bottom w:val="single" w:color="C9D1D9" w:sz="4"/>
          <w:right w:val="single" w:color="C9D1D9" w:sz="4"/>
          <w:insideH w:val="single" w:color="DDE3E8" w:sz="3"/>
          <w:insideV w:val="single" w:color="DDE3E8" w:sz="3"/>
        </w:tblBorders>
      </w:tblPr>
      <w:tblGrid>
        <w:gridCol w:w="2100"/>
        <w:gridCol w:w="1300"/>
        <w:gridCol w:w="590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13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Qué resuelve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leer_caso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lectura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ficha, último contacto y ruta declarada</w:t>
            </w:r>
          </w:p>
        </w:tc>
      </w:tr>
      <w:tr>
        <w:trPr>
          <w:tblHeader w:val="false"/>
        </w:trPr>
        <w:tc>
          <w:tcPr>
            <w:tcW w:type="dxa" w:w="21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detalle_zonas</w:t>
            </w:r>
          </w:p>
        </w:tc>
        <w:tc>
          <w:tcPr>
            <w:tcW w:type="dxa" w:w="13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lectura</w:t>
            </w:r>
          </w:p>
        </w:tc>
        <w:tc>
          <w:tcPr>
            <w:tcW w:type="dxa" w:w="59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acceso, altitud, barrido y refugios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pronostico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lectura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viento, visibilidad y temperatura por franja</w:t>
            </w:r>
          </w:p>
        </w:tc>
      </w:tr>
      <w:tr>
        <w:trPr>
          <w:tblHeader w:val="false"/>
        </w:trPr>
        <w:tc>
          <w:tcPr>
            <w:tcW w:type="dxa" w:w="21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equipos_disponibles</w:t>
            </w:r>
          </w:p>
        </w:tc>
        <w:tc>
          <w:tcPr>
            <w:tcW w:type="dxa" w:w="13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lectura</w:t>
            </w:r>
          </w:p>
        </w:tc>
        <w:tc>
          <w:tcPr>
            <w:tcW w:type="dxa" w:w="59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medios, personas, autonomía y restricciones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viabilidad_medio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cálculo</w:t>
            </w:r>
          </w:p>
        </w:tc>
        <w:tc>
          <w:tcPr>
            <w:tcW w:type="dxa" w:w="5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aplica la regla §3 a medio, zona y franja</w:t>
            </w:r>
          </w:p>
        </w:tc>
      </w:tr>
      <w:tr>
        <w:trPr>
          <w:tblHeader w:val="false"/>
        </w:trPr>
        <w:tc>
          <w:tcPr>
            <w:tcW w:type="dxa" w:w="21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publicar_plan</w:t>
            </w:r>
          </w:p>
        </w:tc>
        <w:tc>
          <w:tcPr>
            <w:tcW w:type="dxa" w:w="13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escritura</w:t>
            </w:r>
          </w:p>
        </w:tc>
        <w:tc>
          <w:tcPr>
            <w:tcW w:type="dxa" w:w="59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valida y persiste data/planes/plan-vN.json</w:t>
            </w:r>
          </w:p>
        </w:tc>
      </w:tr>
    </w:tbl>
    <w:p>
      <w:pPr>
        <w:spacing w:after="12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B6570"/>
          <w:sz w:val="18"/>
          <w:szCs w:val="18"/>
        </w:rPr>
        <w:t xml:space="preserve">Tabla 1. Tools de dominio y su función.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La autonomía es acotada pero real: el agente decide qué consultar, en qué orden y cómo componer el plan; no hay una plantilla fija de respuesta. La secuencia queda en logs/trace.jsonl (planificación, plan publicado, parte, memoria). El guardrail central es que el plan se calcula en Python y el LLM no puede introducir zonas o medios: aunque alucine, el texto no se convierte en plan; solo se escribe lo que pasó por publicar_plan.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6"/>
          <w:szCs w:val="26"/>
        </w:rPr>
        <w:t xml:space="preserve">4. Memoria y recuperación semántica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La memoria de corto plazo es un buffer JSON por sesión (memoria/sesiones.json) que conserva los últimos 20 turnos con consulta, resumen y campos de dominio (plan_version, plan_archivo, plan_resumen). contexto_para_prompt inyecta los últimos turnos al prompt. La memoria de largo plazo es una colección Chroma memoria con embeddings locales paraphrase-multilingual-MiniLM-L12-v2 (Reimers &amp; Gurevych, 2019), filtrada por sesion_id; recuperar devuelve recuerdos con fuente y distancia (Chroma, 2026).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El RAG usa una colección conocimiento con el protocolo y los criterios de prioridad. Cada decisión cita fragmentos [F#] y hechos de tools [T#]. En el acto 2, cito_plan_previo=True y las fuentes incluyen memoria:caso-morado: el parte recupera el plan v1 y explica qué cambió. La recuperación semántica no se limita a repetir el buffer: Chroma permite buscar por significado y filtrar por sesión, lo que sostiene la continuidad entre turnos y la justificación histórica.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6"/>
          <w:szCs w:val="26"/>
        </w:rPr>
        <w:t xml:space="preserve">5. Planificación priorizada y adaptación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La prioridad aplica la fórmula del corpus: score = probabilidad × facilidad / barrido_terrestre_h. La probabilidad es 1,0 si la zona contiene el último contacto, 0,75 si está en la ruta declarada, 0,5 si tiene refugios y 0,25 en el resto. La facilidad suma 0,2 si el dron es adecuado y 0,2 si el acceso es vehicular. El resultado en el caso es Z-2 &gt; Z-5 &gt; Z-1 &gt; Z-4 &gt; Z-3. La fase nocturna ancla las dos zonas probables más fáciles (Z-2 y Z-5) con EQ-2 y K9-1, sin zonas técnicas y antes del amanecer. La fase diurna barre todas las zonas probables; asigna HEL-1 y DR-1 solo si viabilidad_medio lo permite, y EQ-1 cuando la zona queda fuera de la ruta o no hay medio aéreo.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El acto 1 publica el plan v1 con HEL-1 y DR-1 en Z-2 y Z-5 entre 06:00 y 12:00. El acto 2 reemplaza esas franjas por viento de 41 km/h en Z-2 y 38 km/h en Z-5. viabilidad_medio descarta HEL-1 en ambas por la regla de 35 km/h y DR-1 en Z-2 por superar 40 km/h; DR-1 se mantiene en Z-5. El plan v2 refuerza Z-2 con EQ-1, conserva DR-1 en Z-5, mantiene EQ-1 en Z-1 y la fase nocturna. El motivo se escribe con la regla citada y se propone reevaluar HEL-1 en 12:00–18:00, cuando el pronóstico baja a 24, 22 y 26 km/h (Figura 2).</w:t>
      </w:r>
    </w:p>
    <w:tbl>
      <w:tblPr>
        <w:tblW w:type="dxa" w:w="9300"/>
        <w:tblBorders>
          <w:top w:val="single" w:color="C9D1D9" w:sz="4"/>
          <w:left w:val="single" w:color="C9D1D9" w:sz="4"/>
          <w:bottom w:val="single" w:color="C9D1D9" w:sz="4"/>
          <w:right w:val="single" w:color="C9D1D9" w:sz="4"/>
          <w:insideH w:val="single" w:color="DDE3E8" w:sz="3"/>
          <w:insideV w:val="single" w:color="DDE3E8" w:sz="3"/>
        </w:tblBorders>
      </w:tblPr>
      <w:tblGrid>
        <w:gridCol w:w="900"/>
        <w:gridCol w:w="2350"/>
        <w:gridCol w:w="2350"/>
        <w:gridCol w:w="3700"/>
      </w:tblGrid>
      <w:tr>
        <w:trPr>
          <w:tblHeader/>
        </w:trPr>
        <w:tc>
          <w:tcPr>
            <w:tcW w:type="dxa" w:w="9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2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 v1 (06:00–12:00)</w:t>
            </w:r>
          </w:p>
        </w:tc>
        <w:tc>
          <w:tcPr>
            <w:tcW w:type="dxa" w:w="2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Plan v2 (06:00–12:00)</w:t>
            </w:r>
          </w:p>
        </w:tc>
        <w:tc>
          <w:tcPr>
            <w:tcW w:type="dxa" w:w="37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Motivo del cambio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Z-2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HEL-1 + DR-1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EQ-1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viento 41 km/h: HEL-1 ≥ 35 y DR-1 &gt; 40</w:t>
            </w:r>
          </w:p>
        </w:tc>
      </w:tr>
      <w:tr>
        <w:trPr>
          <w:tblHeader w:val="false"/>
        </w:trPr>
        <w:tc>
          <w:tcPr>
            <w:tcW w:type="dxa" w:w="9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Z-5</w:t>
            </w:r>
          </w:p>
        </w:tc>
        <w:tc>
          <w:tcPr>
            <w:tcW w:type="dxa" w:w="23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HEL-1 + DR-1</w:t>
            </w:r>
          </w:p>
        </w:tc>
        <w:tc>
          <w:tcPr>
            <w:tcW w:type="dxa" w:w="23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DR-1</w:t>
            </w:r>
          </w:p>
        </w:tc>
        <w:tc>
          <w:tcPr>
            <w:tcW w:type="dxa" w:w="37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viento 38 km/h: HEL-1 ≥ 35; DR-1 ≤ 40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Z-1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EQ-1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EQ-1</w:t>
            </w:r>
          </w:p>
        </w:tc>
        <w:tc>
          <w:tcPr>
            <w:tcW w:type="dxa" w:w="3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sin cambio de medio</w:t>
            </w:r>
          </w:p>
        </w:tc>
      </w:tr>
      <w:tr>
        <w:trPr>
          <w:tblHeader w:val="false"/>
        </w:trPr>
        <w:tc>
          <w:tcPr>
            <w:tcW w:type="dxa" w:w="9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Noche</w:t>
            </w:r>
          </w:p>
        </w:tc>
        <w:tc>
          <w:tcPr>
            <w:tcW w:type="dxa" w:w="23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EQ-2 + K9-1 (Z-2, Z-5)</w:t>
            </w:r>
          </w:p>
        </w:tc>
        <w:tc>
          <w:tcPr>
            <w:tcW w:type="dxa" w:w="23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sin cambios</w:t>
            </w:r>
          </w:p>
        </w:tc>
        <w:tc>
          <w:tcPr>
            <w:tcW w:type="dxa" w:w="37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la ventana nocturna sigue vigente</w:t>
            </w:r>
          </w:p>
        </w:tc>
      </w:tr>
    </w:tbl>
    <w:p>
      <w:pPr>
        <w:spacing w:after="12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B6570"/>
          <w:sz w:val="18"/>
          <w:szCs w:val="18"/>
        </w:rPr>
        <w:t xml:space="preserve">Tabla 2. Comparación de los planes v1 y v2 para la ventana diurna.</w:t>
      </w:r>
    </w:p>
    <w:p>
      <w:pPr>
        <w:spacing w:after="20" w:before="80"/>
        <w:jc w:val="center"/>
      </w:pPr>
      <w:r>
        <w:drawing>
          <wp:inline distT="0" distB="0" distL="0" distR="0">
            <wp:extent cx="581025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B6570"/>
          <w:sz w:val="18"/>
          <w:szCs w:val="18"/>
        </w:rPr>
        <w:t xml:space="preserve">Figura 2. Flujo de adaptación del acto 2: el evento de viento se evalúa con la regla, se descarta el medio inviable y se publica un plan nuevo con reevaluación programada.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6"/>
          <w:szCs w:val="26"/>
        </w:rPr>
        <w:t xml:space="preserve">6. Verificación y evidencias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La suite tiene 11 pruebas: 6 del motor (chunking, cliente falso, memoria, agente, puerta de dominio, tool de escritura) y 5 del dominio (plan v1, evento de viento, seguridad nocturna, grafo completo, validación de publicar_plan). Todas pasan con uv run python -m pytest -q (11/11). La ingesta indexa 7 documentos y las dos consultas de verificación devuelven MATCH (2/2): reglas de viento y fórmula de prioridad.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Los actos se ejecutaron end-to-end con --falso y quedaron en docs/salida-acto1.txt y docs/salida-acto2.txt, con rutas del repo entregable y la traza de cuatro pasos. No se usó Groq real en esta entrega para no consumir cuota y porque la evidencia determinista es reproducible; el camino real (ClienteLangChain + gpt-oss-120b) está implementado y se activa con .env. La Tabla 3 mapea cada indicador de la pauta con su evidencia.</w:t>
      </w:r>
    </w:p>
    <w:tbl>
      <w:tblPr>
        <w:tblW w:type="dxa" w:w="9300"/>
        <w:tblBorders>
          <w:top w:val="single" w:color="C9D1D9" w:sz="4"/>
          <w:left w:val="single" w:color="C9D1D9" w:sz="4"/>
          <w:bottom w:val="single" w:color="C9D1D9" w:sz="4"/>
          <w:right w:val="single" w:color="C9D1D9" w:sz="4"/>
          <w:insideH w:val="single" w:color="DDE3E8" w:sz="3"/>
          <w:insideV w:val="single" w:color="DDE3E8" w:sz="3"/>
        </w:tblBorders>
      </w:tblPr>
      <w:tblGrid>
        <w:gridCol w:w="650"/>
        <w:gridCol w:w="6500"/>
        <w:gridCol w:w="2150"/>
      </w:tblGrid>
      <w:tr>
        <w:trPr>
          <w:tblHeader/>
        </w:trPr>
        <w:tc>
          <w:tcPr>
            <w:tcW w:type="dxa" w:w="6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IE</w:t>
            </w:r>
          </w:p>
        </w:tc>
        <w:tc>
          <w:tcPr>
            <w:tcW w:type="dxa" w:w="650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Evidencia en el entregable</w:t>
            </w:r>
          </w:p>
        </w:tc>
        <w:tc>
          <w:tcPr>
            <w:tcW w:type="dxa" w:w="21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Archivo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IE1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Seis tools de consulta/cálculo/escritura y loop autónomo consulta→herramienta→respuesta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tools/rastreo.py; agent/agente_base.py</w:t>
            </w:r>
          </w:p>
        </w:tc>
      </w:tr>
      <w:tr>
        <w:trPr>
          <w:tblHeader w:val="false"/>
        </w:trPr>
        <w:tc>
          <w:tcPr>
            <w:tcW w:type="dxa" w:w="6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IE2</w:t>
            </w:r>
          </w:p>
        </w:tc>
        <w:tc>
          <w:tcPr>
            <w:tcW w:type="dxa" w:w="6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Grafo LangGraph de 5 nodos con estado tipado; planificar() delega en el grafo</w:t>
            </w:r>
          </w:p>
        </w:tc>
        <w:tc>
          <w:tcPr>
            <w:tcW w:type="dxa" w:w="21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agent/grafo.py; agent/rastreo.py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IE3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Buffer de 20 turnos; el acto 2 cita el plan v1 de la sesión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agent/memoria.py; docs/salida-acto2.txt</w:t>
            </w:r>
          </w:p>
        </w:tc>
      </w:tr>
      <w:tr>
        <w:trPr>
          <w:tblHeader w:val="false"/>
        </w:trPr>
        <w:tc>
          <w:tcPr>
            <w:tcW w:type="dxa" w:w="6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IE4</w:t>
            </w:r>
          </w:p>
        </w:tc>
        <w:tc>
          <w:tcPr>
            <w:tcW w:type="dxa" w:w="6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Chroma con embeddings locales; filtro por sesión y recuperación semántica del corpus</w:t>
            </w:r>
          </w:p>
        </w:tc>
        <w:tc>
          <w:tcPr>
            <w:tcW w:type="dxa" w:w="21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agent/memoria.py; agent/retriever.py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IE5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Fórmula probabilidad × facilidad / barrido y fases nocturna/diurna priorizadas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agent/rastreo.py</w:t>
            </w:r>
          </w:p>
        </w:tc>
      </w:tr>
      <w:tr>
        <w:trPr>
          <w:tblHeader w:val="false"/>
        </w:trPr>
        <w:tc>
          <w:tcPr>
            <w:tcW w:type="dxa" w:w="6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IE6</w:t>
            </w:r>
          </w:p>
        </w:tc>
        <w:tc>
          <w:tcPr>
            <w:tcW w:type="dxa" w:w="6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Viento 41/38 km/h → descarte de HEL-1/DR-1 y plan v2 con reevaluación</w:t>
            </w:r>
          </w:p>
        </w:tc>
        <w:tc>
          <w:tcPr>
            <w:tcW w:type="dxa" w:w="21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tests/test_rastreo.py; docs/salida-acto2.txt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IE7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Figura 1, diagrama Mermaid y README con ejecución y arquitectura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README.md; este informe</w:t>
            </w:r>
          </w:p>
        </w:tc>
      </w:tr>
      <w:tr>
        <w:trPr>
          <w:tblHeader w:val="false"/>
        </w:trPr>
        <w:tc>
          <w:tcPr>
            <w:tcW w:type="dxa" w:w="6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IE8</w:t>
            </w:r>
          </w:p>
        </w:tc>
        <w:tc>
          <w:tcPr>
            <w:tcW w:type="dxa" w:w="6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Justificación de LangGraph, tools deterministas, memoria y embeddings locales</w:t>
            </w:r>
          </w:p>
        </w:tc>
        <w:tc>
          <w:tcPr>
            <w:tcW w:type="dxa" w:w="21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Secciones 2–5</w:t>
            </w:r>
          </w:p>
        </w:tc>
      </w:tr>
      <w:tr>
        <w:trPr>
          <w:tblHeader w:val="false"/>
        </w:trPr>
        <w:tc>
          <w:tcPr>
            <w:tcW w:type="dxa" w:w="6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IE9</w:t>
            </w:r>
          </w:p>
        </w:tc>
        <w:tc>
          <w:tcPr>
            <w:tcW w:type="dxa" w:w="6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Informe de 4 páginas con dos figuras, tres tablas y referencias APA</w:t>
            </w:r>
          </w:p>
        </w:tc>
        <w:tc>
          <w:tcPr>
            <w:tcW w:type="dxa" w:w="2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docs/informe-ep2.docx; docs/informe-ep2.pdf</w:t>
            </w:r>
          </w:p>
        </w:tc>
      </w:tr>
      <w:tr>
        <w:trPr>
          <w:tblHeader w:val="false"/>
        </w:trPr>
        <w:tc>
          <w:tcPr>
            <w:tcW w:type="dxa" w:w="6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IE10</w:t>
            </w:r>
          </w:p>
        </w:tc>
        <w:tc>
          <w:tcPr>
            <w:tcW w:type="dxa" w:w="650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Lenguaje técnico, trazas, pruebas y evidencia reproducible en el repositorio</w:t>
            </w:r>
          </w:p>
        </w:tc>
        <w:tc>
          <w:tcPr>
            <w:tcW w:type="dxa" w:w="2150"/>
            <w:shd w:fill="F4F6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1F24"/>
                <w:sz w:val="18"/>
                <w:szCs w:val="18"/>
              </w:rPr>
              <w:t xml:space="preserve">docs/; tests/; logs/trace.jsonl</w:t>
            </w:r>
          </w:p>
        </w:tc>
      </w:tr>
    </w:tbl>
    <w:p>
      <w:pPr>
        <w:spacing w:after="120"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B6570"/>
          <w:sz w:val="18"/>
          <w:szCs w:val="18"/>
        </w:rPr>
        <w:t xml:space="preserve">Tabla 3. Correspondencia entre los indicadores de la EP2 y la evidencia del entregable.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6"/>
          <w:szCs w:val="26"/>
        </w:rPr>
        <w:t xml:space="preserve">7. Limitaciones y conclusión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El caso es simulado y único; el corpus es pequeño y el parte narrativo no se evaluó con métricas de calidad. La memoria y el RAG dependen de Chroma y de la descarga local de embeddings. El agente no reemplaza al coordinador: propone un plan validado y explicable. Como trabajo futuro se propone ejecutar la evidencia con Groq real, ampliar el corpus y medir la calidad del parte con una rúbrica.</w:t>
      </w:r>
    </w:p>
    <w:p>
      <w:pPr>
        <w:spacing w:after="80" w:before="0" w:line="252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21"/>
          <w:szCs w:val="21"/>
        </w:rPr>
        <w:t xml:space="preserve">El resultado cubre los indicadores de tools, framework, memoria, recuperación, planificación y adaptación, y deja el informe y la evidencia reproducibles en el repositorio. La separación entre decisión determinista y narración LLM es la decisión de diseño que hace el sistema auditable.</w:t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6"/>
          <w:szCs w:val="26"/>
        </w:rPr>
        <w:t xml:space="preserve">Referencias</w:t>
      </w:r>
    </w:p>
    <w:p>
      <w:pPr>
        <w:spacing w:after="50" w:line="232"/>
        <w:ind w:left="360" w:hanging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18"/>
          <w:szCs w:val="18"/>
        </w:rPr>
        <w:t xml:space="preserve">Chroma. (2026). Chroma documentation. https://docs.trychroma.com/</w:t>
      </w:r>
    </w:p>
    <w:p>
      <w:pPr>
        <w:spacing w:after="50" w:line="232"/>
        <w:ind w:left="360" w:hanging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18"/>
          <w:szCs w:val="18"/>
        </w:rPr>
        <w:t xml:space="preserve">Groq. (2026). Groq API documentation. https://console.groq.com/docs</w:t>
      </w:r>
    </w:p>
    <w:p>
      <w:pPr>
        <w:spacing w:after="50" w:line="232"/>
        <w:ind w:left="360" w:hanging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18"/>
          <w:szCs w:val="18"/>
        </w:rPr>
        <w:t xml:space="preserve">ISY0101. (2026). Evaluación Parcial 2: Instrucciones [Documento de curso]. Ingeniería de Soluciones con IA.</w:t>
      </w:r>
    </w:p>
    <w:p>
      <w:pPr>
        <w:spacing w:after="50" w:line="232"/>
        <w:ind w:left="360" w:hanging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18"/>
          <w:szCs w:val="18"/>
        </w:rPr>
        <w:t xml:space="preserve">LangChain. (2026). LangGraph documentation. https://langchain-ai.github.io/langgraph/</w:t>
      </w:r>
    </w:p>
    <w:p>
      <w:pPr>
        <w:spacing w:after="50" w:line="232"/>
        <w:ind w:left="360" w:hanging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18"/>
          <w:szCs w:val="18"/>
        </w:rPr>
        <w:t xml:space="preserve">Lewis, P., Perez, E., Piktus, A., Petroni, F., Karpukhin, V., Goyal, N., ... Riedel, S. (2020). Retrieval-augmented generation for knowledge-intensive NLP tasks. Advances in Neural Information Processing Systems, 33, 9459–9474. https://arxiv.org/abs/2005.11401</w:t>
      </w:r>
    </w:p>
    <w:p>
      <w:pPr>
        <w:spacing w:after="50" w:line="232"/>
        <w:ind w:left="360" w:hanging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18"/>
          <w:szCs w:val="18"/>
        </w:rPr>
        <w:t xml:space="preserve">Reimers, N., &amp; Gurevych, I. (2019). Sentence-BERT: Sentence embeddings using Siamese BERT-networks. Proceedings of EMNLP-IJCNLP 2019, 3982–3992. https://arxiv.org/abs/1908.10084</w:t>
      </w:r>
    </w:p>
    <w:p>
      <w:pPr>
        <w:spacing w:after="50" w:line="232"/>
        <w:ind w:left="360" w:hanging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18"/>
          <w:szCs w:val="18"/>
        </w:rPr>
        <w:t xml:space="preserve">Russell, S., &amp; Norvig, P. (2021). Artificial intelligence: A modern approach (4th ed.). Pearson.</w:t>
      </w:r>
    </w:p>
    <w:p>
      <w:pPr>
        <w:spacing w:after="50" w:line="232"/>
        <w:ind w:left="360" w:hanging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F24"/>
          <w:sz w:val="18"/>
          <w:szCs w:val="18"/>
        </w:rPr>
        <w:t xml:space="preserve">Yao, S., Zhao, J., Yu, D., Du, N., Shafran, I., Narasimhan, K., &amp; Cao, Y. (2023). ReAct: Synergizing reasoning and acting in language models. International Conference on Learning Representations. https://arxiv.org/abs/2210.03629</w:t>
      </w:r>
    </w:p>
    <w:sectPr>
      <w:headerReference w:type="default" r:id="rId7"/>
      <w:footerReference w:type="default" r:id="rId8"/>
      <w:pgSz w:w="12240" w:h="15840" w:orient="portrait"/>
      <w:pgMar w:top="1000" w:right="1080" w:bottom="1000" w:left="1080" w:header="420" w:footer="4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5B6570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B6570"/>
        <w:sz w:val="16"/>
        <w:szCs w:val="16"/>
      </w:rPr>
      <w:t xml:space="preserve">EP2 · ISY0101 · Agente de rescate andino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F24"/>
        <w:sz w:val="21"/>
        <w:szCs w:val="21"/>
      </w:rPr>
    </w:rPrDefault>
    <w:pPrDefault>
      <w:pPr>
        <w:spacing w:after="80"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f769a1b51eff4ec7576e6b007bcb25d523e7bf0.png"/><Relationship Id="rId10" Type="http://schemas.openxmlformats.org/officeDocument/2006/relationships/image" Target="media/552b57487ae2d0de760327a8a180dae8a0f68a26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Agente coordinador de busqueda y rescate andino</dc:title>
  <dc:creator>Equipo EP2 ISY0101</dc:creator>
  <dc:description>Informe EP2 ISY0101</dc:description>
  <cp:lastModifiedBy>Un-named</cp:lastModifiedBy>
  <cp:revision>1</cp:revision>
  <dcterms:created xsi:type="dcterms:W3CDTF">2026-10-19T22:56:32.291Z</dcterms:created>
  <dcterms:modified xsi:type="dcterms:W3CDTF">2026-10-19T22:56:32.293Z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