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34"/>
          <w:szCs w:val="34"/>
        </w:rPr>
        <w:t xml:space="preserve">Agente coordinador de búsqueda y rescate andino: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8"/>
          <w:szCs w:val="28"/>
        </w:rPr>
        <w:t xml:space="preserve">planificación adaptativa con LangGraph, memoria y RAG</w:t>
      </w:r>
    </w:p>
    <w:p>
      <w:pPr>
        <w:spacing w:after="2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B6570"/>
          <w:sz w:val="20"/>
          <w:szCs w:val="20"/>
        </w:rPr>
        <w:t xml:space="preserve">Evaluación Parcial 2 · ISY0101 Ingeniería de Soluciones con IA</w:t>
      </w:r>
    </w:p>
    <w:p>
      <w:pPr>
        <w:spacing w:after="1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19"/>
          <w:szCs w:val="19"/>
        </w:rPr>
        <w:t xml:space="preserve">Benjamín Ibáñez · Sección: 001D · Docente: Giocrisrai Godoy Bonillo</w:t>
      </w:r>
    </w:p>
    <w:p>
      <w:pPr>
        <w:spacing w:after="3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B6570"/>
          <w:sz w:val="19"/>
          <w:szCs w:val="19"/>
        </w:rPr>
        <w:t xml:space="preserve">19 de octubre de 2026</w:t>
      </w:r>
    </w:p>
    <w:p>
      <w:pPr>
        <w:pBdr>
          <w:bottom w:val="single" w:color="1F3A5F" w:sz="6" w:space="6"/>
        </w:pBdr>
        <w:spacing w:after="16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B6570"/>
          <w:sz w:val="18"/>
          <w:szCs w:val="18"/>
        </w:rPr>
        <w:t xml:space="preserve">Repositorio: https://github.com/beibanezv/ep2-rescate-agente</w:t>
      </w:r>
    </w:p>
    <w:p>
      <w:pPr>
        <w:pStyle w:val="Heading1"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6"/>
          <w:szCs w:val="26"/>
        </w:rPr>
        <w:t xml:space="preserve">Resumen</w:t>
      </w:r>
    </w:p>
    <w:p>
      <w:pPr>
        <w:spacing w:after="80" w:before="0" w:line="252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21"/>
          <w:szCs w:val="21"/>
        </w:rPr>
        <w:t xml:space="preserve">Este informe presenta un agente que convierte el reporte de una persona desaparecida en un plan de búsqueda por fases y lo replanifica cuando el clima invalida la ventana de un medio. La decisión se calcula con código determinista y seis tools de dominio; un grafo LangGraph de cinco nodos orquesta contexto, cálculo, publicación, redacción y memoria. El modelo de lenguaje solo redacta el parte. El agente conserva memoria de sesión, recupera protocolo y criterios por búsqueda semántica y publica planes validados. Se verificó con 14 pruebas y dos actos end-to-end ejecutados con Groq real: el plan v1 asigna helicóptero y dron dentro de su ventana; el plan v2 descarta HEL-1 en ambas zonas y DR-1 en Z-2, conserva DR-1 en Z-5 y refuerza el barrido terrestre.</w:t>
      </w:r>
    </w:p>
    <w:p>
      <w:pPr>
        <w:pStyle w:val="Heading1"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6"/>
          <w:szCs w:val="26"/>
        </w:rPr>
        <w:t xml:space="preserve">1. Introducción y contexto</w:t>
      </w:r>
    </w:p>
    <w:p>
      <w:pPr>
        <w:spacing w:after="80" w:before="0" w:line="252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21"/>
          <w:szCs w:val="21"/>
        </w:rPr>
        <w:t xml:space="preserve">La coordinación de un operativo de búsqueda y rescate (SAR) exige priorizar zonas, asignar medios y justificar cada decisión ante un protocolo. En un caso real, el pronóstico cambia y obliga a replanificar. El objetivo de este trabajo es construir un agente que reciba el reporte, consulte los datos del caso y produzca un plan trazable, con memoria entre turnos y capacidad de adaptarse a un evento de viento (ISY0101, 2026).</w:t>
      </w:r>
    </w:p>
    <w:p>
      <w:pPr>
        <w:spacing w:after="80" w:before="0" w:line="252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21"/>
          <w:szCs w:val="21"/>
        </w:rPr>
        <w:t xml:space="preserve">El caso simulado ocurre en la noche del 17 al 18 de octubre de 2026 en El Morado. La ficha indica último contacto en el mirador (Z-2), ruta declarada y una persona sin equipo técnico. El corpus fija prioridades y reglas de viabilidad. La contribución es un flujo que separa decisión (Python) de narración (LLM), con herramientas de lectura y una tool de escritura que valida antes de persistir.</w:t>
      </w:r>
    </w:p>
    <w:p>
      <w:pPr>
        <w:pStyle w:val="Heading1"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6"/>
          <w:szCs w:val="26"/>
        </w:rPr>
        <w:t xml:space="preserve">2. Arquitectura y orquestación</w:t>
      </w:r>
    </w:p>
    <w:p>
      <w:pPr>
        <w:spacing w:after="80" w:before="0" w:line="252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21"/>
          <w:szCs w:val="21"/>
        </w:rPr>
        <w:t xml:space="preserve">El flujo se implementa en agent/grafo.py con LangGraph (LangChain, 2026). El estado EstadoPlan es un TypedDict que viaja por cinco nodos: contexto, calcular, publicar, redactar y memorizar (Figura 1). contexto recupera el plan previo del buffer y los recuerdos semánticos de Chroma, arma los hechos de tools ([T#]) y busca fragmentos del corpus ([F#]). calcular aplica la fórmula de prioridad y construye las fases. publicar llama a publicar_plan, que valida y escribe data/planes/plan-vN.json. redactar pide al LLM el parte narrativo con el plan ya publicado. memorizar registra el turno en el buffer y en Chroma.</w:t>
      </w:r>
    </w:p>
    <w:p>
      <w:pPr>
        <w:spacing w:after="80" w:before="0" w:line="252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21"/>
          <w:szCs w:val="21"/>
        </w:rPr>
        <w:t xml:space="preserve">La orquestación con LangGraph se eligió frente a CrewAI porque el problema es un pipeline con estado explícito y control determinista, no una conversación entre roles. LangGraph permite inspeccionar el estado, imponer el orden y trazar cada nodo; una tripulación de agentes habría añadido variabilidad y costo sin mejorar la decisión. El grafo se compila una vez en AgenteRastreo.__init__ y planificar() lo invoca, de modo que el CLI y las pruebas usan el mismo camino.</w:t>
      </w:r>
    </w:p>
    <w:p>
      <w:pPr>
        <w:spacing w:after="80" w:before="0" w:line="252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21"/>
          <w:szCs w:val="21"/>
        </w:rPr>
        <w:t xml:space="preserve">El LLM no decide: recibe el plan validado y redacta. En producción se usa ClienteLangChain con Groq openai/gpt-oss-120b (Groq, 2026); en pruebas se usa ClienteFalso, determinista y sin cuota. Los actos 1 y 2 de docs/ se ejecutaron con Groq real. LangSmith es opcional y se activa solo si hay LANGSMITH_API_KEY.</w:t>
      </w:r>
    </w:p>
    <w:p>
      <w:pPr>
        <w:pStyle w:val="Heading2"/>
        <w:spacing w:after="5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3"/>
          <w:szCs w:val="23"/>
        </w:rPr>
        <w:t xml:space="preserve">2.1 Separación entre decisión y narración</w:t>
      </w:r>
    </w:p>
    <w:p>
      <w:pPr>
        <w:spacing w:after="80" w:before="0" w:line="252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21"/>
          <w:szCs w:val="21"/>
        </w:rPr>
        <w:t xml:space="preserve">La separación responde a un requisito de auditoría: cada fase debe poder reconstruirse desde los JSON y el protocolo, sin depender del muestreo del LLM. Por eso calcular y publicar son funciones deterministas sobre datos versionados; redactar recibe el plan ya escrito y no puede alterarlo. Esta frontera también abarata las pruebas: el grafo se ejecuta con ClienteFalso y produce el mismo plan que con Groq, porque el plan no pasa por el modelo.</w:t>
      </w:r>
    </w:p>
    <w:p>
      <w:pPr>
        <w:spacing w:after="80" w:before="0" w:line="252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21"/>
          <w:szCs w:val="21"/>
        </w:rPr>
        <w:t xml:space="preserve">El estado EstadoPlan hace explícito el contrato entre nodos: version, sesion_id, consulta, recuerdo, herramientas, fragmentos, fases, prioridad, motivo, citas, plan, archivo, parte, fuentes, cito_plan_previo y archivo_trace. Cada nodo lee lo anterior y agrega su salida; LangGraph conserva el esquema y la trazabilidad.</w:t>
      </w:r>
    </w:p>
    <w:p>
      <w:pPr>
        <w:spacing w:after="20" w:before="80"/>
        <w:jc w:val="center"/>
      </w:pPr>
      <w:r>
        <w:drawing>
          <wp:inline distT="0" distB="0" distL="0" distR="0">
            <wp:extent cx="581025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B6570"/>
          <w:sz w:val="18"/>
          <w:szCs w:val="18"/>
        </w:rPr>
        <w:t xml:space="preserve">Figura 1. Arquitectura del agente. El grafo LangGraph orquesta cinco nodos; las tools leen los JSON y el corpus, y publicar_plan valida antes de escribir.</w:t>
      </w:r>
    </w:p>
    <w:p>
      <w:pPr>
        <w:pStyle w:val="Heading1"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6"/>
          <w:szCs w:val="26"/>
        </w:rPr>
        <w:t xml:space="preserve">3. Tools, autonomía y guardrails</w:t>
      </w:r>
    </w:p>
    <w:p>
      <w:pPr>
        <w:spacing w:after="80" w:before="0" w:line="252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21"/>
          <w:szCs w:val="21"/>
        </w:rPr>
        <w:t xml:space="preserve">El agente dispone de seis tools (Tabla 1). Las de lectura exponen el caso, las zonas, el pronóstico y los equipos. viabilidad_medio codifica el protocolo §3: HEL-1 requiere viento &lt; 35 km/h y visibilidad &gt; 5 km; DR-1 tolera hasta 40 km/h; ambos solo operan de día (06:00–18:00); las brigadas y K9 no ingresan sobre 3000 m sin aclimatación. publicar_plan es la única tool de escritura: valida versión, fases, franjas ISO, zonas y medios contra los JSON, y rechaza cualquier estructura inválida antes de escribir.</w:t>
      </w:r>
    </w:p>
    <w:tbl>
      <w:tblPr>
        <w:tblW w:type="dxa" w:w="9300"/>
        <w:tblBorders>
          <w:top w:val="single" w:color="C9D1D9" w:sz="4"/>
          <w:left w:val="single" w:color="C9D1D9" w:sz="4"/>
          <w:bottom w:val="single" w:color="C9D1D9" w:sz="4"/>
          <w:right w:val="single" w:color="C9D1D9" w:sz="4"/>
          <w:insideH w:val="single" w:color="DDE3E8" w:sz="3"/>
          <w:insideV w:val="single" w:color="DDE3E8" w:sz="3"/>
        </w:tblBorders>
      </w:tblPr>
      <w:tblGrid>
        <w:gridCol w:w="2100"/>
        <w:gridCol w:w="1300"/>
        <w:gridCol w:w="5900"/>
      </w:tblGrid>
      <w:tr>
        <w:trPr>
          <w:tblHeader/>
        </w:trPr>
        <w:tc>
          <w:tcPr>
            <w:tcW w:type="dxa" w:w="21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tcW w:type="dxa" w:w="13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59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Qué resuelve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leer_caso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lectura</w:t>
            </w:r>
          </w:p>
        </w:tc>
        <w:tc>
          <w:tcPr>
            <w:tcW w:type="dxa" w:w="5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ficha, último contacto y ruta declarada</w:t>
            </w:r>
          </w:p>
        </w:tc>
      </w:tr>
      <w:tr>
        <w:trPr>
          <w:tblHeader w:val="false"/>
        </w:trPr>
        <w:tc>
          <w:tcPr>
            <w:tcW w:type="dxa" w:w="210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detalle_zonas</w:t>
            </w:r>
          </w:p>
        </w:tc>
        <w:tc>
          <w:tcPr>
            <w:tcW w:type="dxa" w:w="130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lectura</w:t>
            </w:r>
          </w:p>
        </w:tc>
        <w:tc>
          <w:tcPr>
            <w:tcW w:type="dxa" w:w="590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acceso, altitud, barrido y refugios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pronostico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lectura</w:t>
            </w:r>
          </w:p>
        </w:tc>
        <w:tc>
          <w:tcPr>
            <w:tcW w:type="dxa" w:w="5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viento, visibilidad y temperatura por franja</w:t>
            </w:r>
          </w:p>
        </w:tc>
      </w:tr>
      <w:tr>
        <w:trPr>
          <w:tblHeader w:val="false"/>
        </w:trPr>
        <w:tc>
          <w:tcPr>
            <w:tcW w:type="dxa" w:w="210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equipos_disponibles</w:t>
            </w:r>
          </w:p>
        </w:tc>
        <w:tc>
          <w:tcPr>
            <w:tcW w:type="dxa" w:w="130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lectura</w:t>
            </w:r>
          </w:p>
        </w:tc>
        <w:tc>
          <w:tcPr>
            <w:tcW w:type="dxa" w:w="590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medios, personas, autonomía y restricciones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viabilidad_medio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cálculo</w:t>
            </w:r>
          </w:p>
        </w:tc>
        <w:tc>
          <w:tcPr>
            <w:tcW w:type="dxa" w:w="5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aplica la regla §3 a medio, zona y franja</w:t>
            </w:r>
          </w:p>
        </w:tc>
      </w:tr>
      <w:tr>
        <w:trPr>
          <w:tblHeader w:val="false"/>
        </w:trPr>
        <w:tc>
          <w:tcPr>
            <w:tcW w:type="dxa" w:w="210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publicar_plan</w:t>
            </w:r>
          </w:p>
        </w:tc>
        <w:tc>
          <w:tcPr>
            <w:tcW w:type="dxa" w:w="130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escritura</w:t>
            </w:r>
          </w:p>
        </w:tc>
        <w:tc>
          <w:tcPr>
            <w:tcW w:type="dxa" w:w="590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valida y persiste data/planes/plan-vN.json</w:t>
            </w:r>
          </w:p>
        </w:tc>
      </w:tr>
    </w:tbl>
    <w:p>
      <w:pPr>
        <w:spacing w:after="120" w:before="4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B6570"/>
          <w:sz w:val="18"/>
          <w:szCs w:val="18"/>
        </w:rPr>
        <w:t xml:space="preserve">Tabla 1. Tools de dominio y su función.</w:t>
      </w:r>
    </w:p>
    <w:p>
      <w:pPr>
        <w:spacing w:after="80" w:before="0" w:line="252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21"/>
          <w:szCs w:val="21"/>
        </w:rPr>
        <w:t xml:space="preserve">El flujo es un pipeline determinista: el nodo contexto ejecuta siempre la recuperación y las verificaciones de dominio, y la plantilla de fases es fija. La autonomía está en el cálculo de prioridades y en la selección de medios viables, no en una elección libre de tools por el LLM. La secuencia queda en logs/trace.jsonl (planificación, memoria semántica, plan publicado, parte, memoria). El guardrail central es que el plan se calcula en Python y el LLM no puede introducir zonas o medios: aunque alucine, el texto no se convierte en plan; solo se escribe lo que pasó por publicar_plan (Russell &amp; Norvig, 2021).</w:t>
      </w:r>
    </w:p>
    <w:p>
      <w:pPr>
        <w:pStyle w:val="Heading1"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6"/>
          <w:szCs w:val="26"/>
        </w:rPr>
        <w:t xml:space="preserve">4. Memoria y recuperación semántica</w:t>
      </w:r>
    </w:p>
    <w:p>
      <w:pPr>
        <w:spacing w:after="80" w:before="0" w:line="252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21"/>
          <w:szCs w:val="21"/>
        </w:rPr>
        <w:t xml:space="preserve">La memoria de corto plazo es un buffer JSON por sesión (memoria/sesiones.json) que conserva los últimos 20 turnos con consulta, resumen y campos de dominio (plan_version, plan_archivo, plan_resumen). contexto_para_prompt inyecta los últimos turnos al prompt. La memoria de largo plazo es una colección Chroma memoria con embeddings locales paraphrase-multilingual-MiniLM-L12-v2 (Reimers &amp; Gurevych, 2019), filtrada por sesion_id; recuperar devuelve recuerdos con fuente y distancia (Chroma, 2026).</w:t>
      </w:r>
    </w:p>
    <w:p>
      <w:pPr>
        <w:spacing w:after="80" w:before="0" w:line="252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21"/>
          <w:szCs w:val="21"/>
        </w:rPr>
        <w:t xml:space="preserve">El RAG usa una colección conocimiento con el protocolo y los criterios de prioridad; el parte narrativo cita fragmentos [F#] y hechos de tools [T#], mientras el JSON del plan guarda citas legibles. En el acto 2, cito_plan_previo=True y las fuentes incluyen memoria-semantica:caso-morado y memoria:caso-morado; el parte recibe el plan v1, y el motivo del cambio se escribe en el plan v2. La recuperación semántica no se limita a repetir el buffer: Chroma permite buscar por significado y filtrar por sesión, lo que sostiene la continuidad entre turnos y la justificación histórica (Lewis et al., 2020).</w:t>
      </w:r>
    </w:p>
    <w:p>
      <w:pPr>
        <w:pStyle w:val="Heading1"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6"/>
          <w:szCs w:val="26"/>
        </w:rPr>
        <w:t xml:space="preserve">5. Planificación priorizada y adaptación</w:t>
      </w:r>
    </w:p>
    <w:p>
      <w:pPr>
        <w:spacing w:after="80" w:before="0" w:line="252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21"/>
          <w:szCs w:val="21"/>
        </w:rPr>
        <w:t xml:space="preserve">La prioridad aplica la fórmula del corpus: score = probabilidad × facilidad / barrido_terrestre_h. La probabilidad es 1,0 si la zona contiene el último contacto, 0,75 si está en la ruta declarada, 0,5 si tiene refugios y 0,25 en el resto. La facilidad suma 0,2 si el dron es adecuado y 0,2 si el acceso es vehicular. El resultado en el caso es Z-2 &gt; Z-5 &gt; Z-1 &gt; Z-4 &gt; Z-3. La fase nocturna ancla las dos zonas probables más fáciles (Z-2 y Z-5) con EQ-2 y K9-1, sin zonas técnicas y antes del amanecer. La fase diurna barre todas las zonas probables; asigna HEL-1 y DR-1 solo si viabilidad_medio lo permite, y EQ-1 cuando la zona queda fuera de la ruta o no hay medio aéreo.</w:t>
      </w:r>
    </w:p>
    <w:p>
      <w:pPr>
        <w:spacing w:after="80" w:before="0" w:line="252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21"/>
          <w:szCs w:val="21"/>
        </w:rPr>
        <w:t xml:space="preserve">El acto 1 publica el plan v1 con HEL-1 y DR-1 en Z-2 y Z-5 entre 06:00 y 12:00. El acto 2 reemplaza esas franjas por viento de 41 km/h en Z-2 y 38 km/h en Z-5. viabilidad_medio descarta HEL-1 en ambas por la regla de 35 km/h y DR-1 en Z-2 por superar 40 km/h; DR-1 se mantiene en Z-5. El plan v2 refuerza Z-2 con EQ-1, conserva DR-1 en Z-5, mantiene EQ-1 en Z-1 y la fase nocturna. El motivo se escribe con la regla citada y se propone reevaluar HEL-1 en 12:00–18:00, cuando el pronóstico baja a 24, 22 y 26 km/h (Figura 2). La reevaluación sigue el ciclo de razonar, actuar y volver a observar el entorno de ReAct (Yao et al., 2023).</w:t>
      </w:r>
    </w:p>
    <w:tbl>
      <w:tblPr>
        <w:tblW w:type="dxa" w:w="9300"/>
        <w:tblBorders>
          <w:top w:val="single" w:color="C9D1D9" w:sz="4"/>
          <w:left w:val="single" w:color="C9D1D9" w:sz="4"/>
          <w:bottom w:val="single" w:color="C9D1D9" w:sz="4"/>
          <w:right w:val="single" w:color="C9D1D9" w:sz="4"/>
          <w:insideH w:val="single" w:color="DDE3E8" w:sz="3"/>
          <w:insideV w:val="single" w:color="DDE3E8" w:sz="3"/>
        </w:tblBorders>
      </w:tblPr>
      <w:tblGrid>
        <w:gridCol w:w="900"/>
        <w:gridCol w:w="2350"/>
        <w:gridCol w:w="2350"/>
        <w:gridCol w:w="3700"/>
      </w:tblGrid>
      <w:tr>
        <w:trPr>
          <w:tblHeader/>
        </w:trPr>
        <w:tc>
          <w:tcPr>
            <w:tcW w:type="dxa" w:w="9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Zona</w:t>
            </w:r>
          </w:p>
        </w:tc>
        <w:tc>
          <w:tcPr>
            <w:tcW w:type="dxa" w:w="235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Plan v1 (06:00–12:00)</w:t>
            </w:r>
          </w:p>
        </w:tc>
        <w:tc>
          <w:tcPr>
            <w:tcW w:type="dxa" w:w="235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Plan v2 (06:00–12:00)</w:t>
            </w:r>
          </w:p>
        </w:tc>
        <w:tc>
          <w:tcPr>
            <w:tcW w:type="dxa" w:w="37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Motivo del cambio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Z-2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HEL-1 + DR-1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EQ-1</w:t>
            </w:r>
          </w:p>
        </w:tc>
        <w:tc>
          <w:tcPr>
            <w:tcW w:type="dxa" w:w="3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viento 41 km/h: HEL-1 ≥ 35 y DR-1 &gt; 40</w:t>
            </w:r>
          </w:p>
        </w:tc>
      </w:tr>
      <w:tr>
        <w:trPr>
          <w:tblHeader w:val="false"/>
        </w:trPr>
        <w:tc>
          <w:tcPr>
            <w:tcW w:type="dxa" w:w="90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Z-5</w:t>
            </w:r>
          </w:p>
        </w:tc>
        <w:tc>
          <w:tcPr>
            <w:tcW w:type="dxa" w:w="235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HEL-1 + DR-1</w:t>
            </w:r>
          </w:p>
        </w:tc>
        <w:tc>
          <w:tcPr>
            <w:tcW w:type="dxa" w:w="235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DR-1</w:t>
            </w:r>
          </w:p>
        </w:tc>
        <w:tc>
          <w:tcPr>
            <w:tcW w:type="dxa" w:w="370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viento 38 km/h: HEL-1 ≥ 35; DR-1 ≤ 40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Z-1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EQ-1</w:t>
            </w:r>
          </w:p>
        </w:tc>
        <w:tc>
          <w:tcPr>
            <w:tcW w:type="dxa" w:w="23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EQ-1</w:t>
            </w:r>
          </w:p>
        </w:tc>
        <w:tc>
          <w:tcPr>
            <w:tcW w:type="dxa" w:w="3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sin cambio de medio</w:t>
            </w:r>
          </w:p>
        </w:tc>
      </w:tr>
      <w:tr>
        <w:trPr>
          <w:tblHeader w:val="false"/>
        </w:trPr>
        <w:tc>
          <w:tcPr>
            <w:tcW w:type="dxa" w:w="90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Noche</w:t>
            </w:r>
          </w:p>
        </w:tc>
        <w:tc>
          <w:tcPr>
            <w:tcW w:type="dxa" w:w="235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EQ-2 + K9-1 (Z-2, Z-5)</w:t>
            </w:r>
          </w:p>
        </w:tc>
        <w:tc>
          <w:tcPr>
            <w:tcW w:type="dxa" w:w="235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sin cambios</w:t>
            </w:r>
          </w:p>
        </w:tc>
        <w:tc>
          <w:tcPr>
            <w:tcW w:type="dxa" w:w="370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la ventana nocturna sigue vigente</w:t>
            </w:r>
          </w:p>
        </w:tc>
      </w:tr>
    </w:tbl>
    <w:p>
      <w:pPr>
        <w:spacing w:after="120" w:before="4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B6570"/>
          <w:sz w:val="18"/>
          <w:szCs w:val="18"/>
        </w:rPr>
        <w:t xml:space="preserve">Tabla 2. Comparación de los planes v1 y v2 para la ventana diurna.</w:t>
      </w:r>
    </w:p>
    <w:p>
      <w:pPr>
        <w:spacing w:after="20" w:before="80"/>
        <w:jc w:val="center"/>
      </w:pPr>
      <w:r>
        <w:drawing>
          <wp:inline distT="0" distB="0" distL="0" distR="0">
            <wp:extent cx="5810250" cy="259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B6570"/>
          <w:sz w:val="18"/>
          <w:szCs w:val="18"/>
        </w:rPr>
        <w:t xml:space="preserve">Figura 2. Flujo de adaptación del acto 2: el evento de viento se evalúa con la regla, se descarta el medio inviable y se publica un plan nuevo con reevaluación programada.</w:t>
      </w:r>
    </w:p>
    <w:p>
      <w:pPr>
        <w:pStyle w:val="Heading1"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6"/>
          <w:szCs w:val="26"/>
        </w:rPr>
        <w:t xml:space="preserve">6. Verificación y evidencias</w:t>
      </w:r>
    </w:p>
    <w:p>
      <w:pPr>
        <w:spacing w:after="80" w:before="0" w:line="252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21"/>
          <w:szCs w:val="21"/>
        </w:rPr>
        <w:t xml:space="preserve">La suite tiene 14 pruebas: 8 del motor (chunking, cliente falso, memoria, agente, puerta de dominio, tool de escritura, cliente LangChain y citas con espacios) y 6 del dominio (plan v1, evento de viento, seguridad nocturna, grafo completo, validación de publicar_plan y recuperación semántica en contexto). Todas pasan con uv run python -m pytest -q (14/14). La ingesta carga 2 documentos y genera 7 fragmentos; las dos consultas de verificación devuelven MATCH (2/2): reglas de viento y fórmula de prioridad.</w:t>
      </w:r>
    </w:p>
    <w:p>
      <w:pPr>
        <w:spacing w:after="80" w:before="0" w:line="252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21"/>
          <w:szCs w:val="21"/>
        </w:rPr>
        <w:t xml:space="preserve">Los actos se ejecutaron end-to-end con Groq real (ClienteLangChain + gpt-oss-120b) y quedaron en docs/salida-acto1.txt y docs/salida-acto2.txt, con rutas relativas y la traza de cinco pasos. El plan v2 se conserva en docs/plan-v2-evidencia.json. La Tabla 3 mapea cada indicador de la pauta con su evidencia.</w:t>
      </w:r>
    </w:p>
    <w:tbl>
      <w:tblPr>
        <w:tblW w:type="dxa" w:w="9300"/>
        <w:tblBorders>
          <w:top w:val="single" w:color="C9D1D9" w:sz="4"/>
          <w:left w:val="single" w:color="C9D1D9" w:sz="4"/>
          <w:bottom w:val="single" w:color="C9D1D9" w:sz="4"/>
          <w:right w:val="single" w:color="C9D1D9" w:sz="4"/>
          <w:insideH w:val="single" w:color="DDE3E8" w:sz="3"/>
          <w:insideV w:val="single" w:color="DDE3E8" w:sz="3"/>
        </w:tblBorders>
      </w:tblPr>
      <w:tblGrid>
        <w:gridCol w:w="650"/>
        <w:gridCol w:w="6500"/>
        <w:gridCol w:w="2150"/>
      </w:tblGrid>
      <w:tr>
        <w:trPr>
          <w:tblHeader/>
        </w:trPr>
        <w:tc>
          <w:tcPr>
            <w:tcW w:type="dxa" w:w="65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IE</w:t>
            </w:r>
          </w:p>
        </w:tc>
        <w:tc>
          <w:tcPr>
            <w:tcW w:type="dxa" w:w="65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Evidencia en el entregable</w:t>
            </w:r>
          </w:p>
        </w:tc>
        <w:tc>
          <w:tcPr>
            <w:tcW w:type="dxa" w:w="215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Archivo</w:t>
            </w:r>
          </w:p>
        </w:tc>
      </w:tr>
      <w:tr>
        <w:trPr>
          <w:tblHeader w:val="false"/>
        </w:trPr>
        <w:tc>
          <w:tcPr>
            <w:tcW w:type="dxa" w:w="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IE1</w:t>
            </w:r>
          </w:p>
        </w:tc>
        <w:tc>
          <w:tcPr>
            <w:tcW w:type="dxa" w:w="6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Seis tools de consulta/cálculo/escritura y pipeline consulta→contexto→plan→parte; el LLM solo redacta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tools/rastreo.py; agent/agente_base.py</w:t>
            </w:r>
          </w:p>
        </w:tc>
      </w:tr>
      <w:tr>
        <w:trPr>
          <w:tblHeader w:val="false"/>
        </w:trPr>
        <w:tc>
          <w:tcPr>
            <w:tcW w:type="dxa" w:w="65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IE2</w:t>
            </w:r>
          </w:p>
        </w:tc>
        <w:tc>
          <w:tcPr>
            <w:tcW w:type="dxa" w:w="650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Grafo LangGraph de 5 nodos con estado tipado; planificar() delega en el grafo</w:t>
            </w:r>
          </w:p>
        </w:tc>
        <w:tc>
          <w:tcPr>
            <w:tcW w:type="dxa" w:w="215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agent/grafo.py; agent/rastreo.py</w:t>
            </w:r>
          </w:p>
        </w:tc>
      </w:tr>
      <w:tr>
        <w:trPr>
          <w:tblHeader w:val="false"/>
        </w:trPr>
        <w:tc>
          <w:tcPr>
            <w:tcW w:type="dxa" w:w="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IE3</w:t>
            </w:r>
          </w:p>
        </w:tc>
        <w:tc>
          <w:tcPr>
            <w:tcW w:type="dxa" w:w="6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Buffer de 20 turnos; el acto 2 cita el plan v1 de la sesión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agent/memoria.py; docs/salida-acto2.txt</w:t>
            </w:r>
          </w:p>
        </w:tc>
      </w:tr>
      <w:tr>
        <w:trPr>
          <w:tblHeader w:val="false"/>
        </w:trPr>
        <w:tc>
          <w:tcPr>
            <w:tcW w:type="dxa" w:w="65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IE4</w:t>
            </w:r>
          </w:p>
        </w:tc>
        <w:tc>
          <w:tcPr>
            <w:tcW w:type="dxa" w:w="650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Buffer + Chroma; `recuperar` por sesión en el nodo contexto y recuperación semántica del corpus</w:t>
            </w:r>
          </w:p>
        </w:tc>
        <w:tc>
          <w:tcPr>
            <w:tcW w:type="dxa" w:w="215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agent/memoria.py; agent/retriever.py</w:t>
            </w:r>
          </w:p>
        </w:tc>
      </w:tr>
      <w:tr>
        <w:trPr>
          <w:tblHeader w:val="false"/>
        </w:trPr>
        <w:tc>
          <w:tcPr>
            <w:tcW w:type="dxa" w:w="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IE5</w:t>
            </w:r>
          </w:p>
        </w:tc>
        <w:tc>
          <w:tcPr>
            <w:tcW w:type="dxa" w:w="6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Fórmula probabilidad × facilidad / barrido y fases nocturna/diurna priorizadas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agent/rastreo.py</w:t>
            </w:r>
          </w:p>
        </w:tc>
      </w:tr>
      <w:tr>
        <w:trPr>
          <w:tblHeader w:val="false"/>
        </w:trPr>
        <w:tc>
          <w:tcPr>
            <w:tcW w:type="dxa" w:w="65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IE6</w:t>
            </w:r>
          </w:p>
        </w:tc>
        <w:tc>
          <w:tcPr>
            <w:tcW w:type="dxa" w:w="650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Viento 41/38 km/h → descarte de HEL-1/DR-1 y plan v2 con reevaluación</w:t>
            </w:r>
          </w:p>
        </w:tc>
        <w:tc>
          <w:tcPr>
            <w:tcW w:type="dxa" w:w="215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tests/test_rastreo.py; docs/salida-acto2.txt</w:t>
            </w:r>
          </w:p>
        </w:tc>
      </w:tr>
      <w:tr>
        <w:trPr>
          <w:tblHeader w:val="false"/>
        </w:trPr>
        <w:tc>
          <w:tcPr>
            <w:tcW w:type="dxa" w:w="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IE7</w:t>
            </w:r>
          </w:p>
        </w:tc>
        <w:tc>
          <w:tcPr>
            <w:tcW w:type="dxa" w:w="6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Figura 1, diagrama Mermaid y README con ejecución y arquitectura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README.md; este informe</w:t>
            </w:r>
          </w:p>
        </w:tc>
      </w:tr>
      <w:tr>
        <w:trPr>
          <w:tblHeader w:val="false"/>
        </w:trPr>
        <w:tc>
          <w:tcPr>
            <w:tcW w:type="dxa" w:w="65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IE8</w:t>
            </w:r>
          </w:p>
        </w:tc>
        <w:tc>
          <w:tcPr>
            <w:tcW w:type="dxa" w:w="650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Justificación de LangGraph, tools deterministas, memoria y embeddings locales</w:t>
            </w:r>
          </w:p>
        </w:tc>
        <w:tc>
          <w:tcPr>
            <w:tcW w:type="dxa" w:w="215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Secciones 2–5</w:t>
            </w:r>
          </w:p>
        </w:tc>
      </w:tr>
      <w:tr>
        <w:trPr>
          <w:tblHeader w:val="false"/>
        </w:trPr>
        <w:tc>
          <w:tcPr>
            <w:tcW w:type="dxa" w:w="6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IE9</w:t>
            </w:r>
          </w:p>
        </w:tc>
        <w:tc>
          <w:tcPr>
            <w:tcW w:type="dxa" w:w="6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Informe de 4 páginas con dos figuras, tres tablas y referencias APA</w:t>
            </w:r>
          </w:p>
        </w:tc>
        <w:tc>
          <w:tcPr>
            <w:tcW w:type="dxa" w:w="2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docs/informe-ep2.docx; docs/informe-ep2.pdf</w:t>
            </w:r>
          </w:p>
        </w:tc>
      </w:tr>
      <w:tr>
        <w:trPr>
          <w:tblHeader w:val="false"/>
        </w:trPr>
        <w:tc>
          <w:tcPr>
            <w:tcW w:type="dxa" w:w="65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IE10</w:t>
            </w:r>
          </w:p>
        </w:tc>
        <w:tc>
          <w:tcPr>
            <w:tcW w:type="dxa" w:w="650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Lenguaje técnico, transcripciones, pruebas y evidencia reproducible en el repositorio</w:t>
            </w:r>
          </w:p>
        </w:tc>
        <w:tc>
          <w:tcPr>
            <w:tcW w:type="dxa" w:w="2150"/>
            <w:shd w:fill="F4F6F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2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F24"/>
                <w:sz w:val="18"/>
                <w:szCs w:val="18"/>
              </w:rPr>
              <w:t xml:space="preserve">docs/salida-acto*.txt; tests/</w:t>
            </w:r>
          </w:p>
        </w:tc>
      </w:tr>
    </w:tbl>
    <w:p>
      <w:pPr>
        <w:spacing w:after="120" w:before="4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B6570"/>
          <w:sz w:val="18"/>
          <w:szCs w:val="18"/>
        </w:rPr>
        <w:t xml:space="preserve">Tabla 3. Correspondencia entre los indicadores de la EP2 y la evidencia del entregable.</w:t>
      </w:r>
    </w:p>
    <w:p>
      <w:pPr>
        <w:pStyle w:val="Heading1"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6"/>
          <w:szCs w:val="26"/>
        </w:rPr>
        <w:t xml:space="preserve">7. Limitaciones y conclusión</w:t>
      </w:r>
    </w:p>
    <w:p>
      <w:pPr>
        <w:spacing w:after="80" w:before="0" w:line="252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21"/>
          <w:szCs w:val="21"/>
        </w:rPr>
        <w:t xml:space="preserve">El caso es simulado y único; el corpus es pequeño y el parte narrativo no se evaluó con métricas de calidad. La memoria y el RAG dependen de Chroma y de la descarga local de embeddings. El agente no reemplaza al coordinador: propone un plan validado y explicable. Como trabajo futuro se propone ampliar el corpus, medir la calidad del parte con una rúbrica y validar el plan con datos operativos reales.</w:t>
      </w:r>
    </w:p>
    <w:p>
      <w:pPr>
        <w:spacing w:after="80" w:before="0" w:line="252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21"/>
          <w:szCs w:val="21"/>
        </w:rPr>
        <w:t xml:space="preserve">El resultado cubre los indicadores de tools, framework, memoria, recuperación, planificación y adaptación, y deja el informe y la evidencia reproducibles en el repositorio. La separación entre decisión determinista y narración LLM es la decisión de diseño que hace el sistema auditable.</w:t>
      </w:r>
    </w:p>
    <w:p>
      <w:pPr>
        <w:pStyle w:val="Heading1"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3A5F"/>
          <w:sz w:val="26"/>
          <w:szCs w:val="26"/>
        </w:rPr>
        <w:t xml:space="preserve">Referencias</w:t>
      </w:r>
    </w:p>
    <w:p>
      <w:pPr>
        <w:spacing w:after="50" w:line="232"/>
        <w:ind w:left="360" w:hanging="3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18"/>
          <w:szCs w:val="18"/>
        </w:rPr>
        <w:t xml:space="preserve">Chroma. (2026). Chroma documentation. https://docs.trychroma.com/</w:t>
      </w:r>
    </w:p>
    <w:p>
      <w:pPr>
        <w:spacing w:after="50" w:line="232"/>
        <w:ind w:left="360" w:hanging="3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18"/>
          <w:szCs w:val="18"/>
        </w:rPr>
        <w:t xml:space="preserve">Groq. (2026). Groq API documentation. https://console.groq.com/docs</w:t>
      </w:r>
    </w:p>
    <w:p>
      <w:pPr>
        <w:spacing w:after="50" w:line="232"/>
        <w:ind w:left="360" w:hanging="3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18"/>
          <w:szCs w:val="18"/>
        </w:rPr>
        <w:t xml:space="preserve">ISY0101. (2026). Evaluación Parcial 2: Instrucciones [Documento de curso]. Ingeniería de Soluciones con IA.</w:t>
      </w:r>
    </w:p>
    <w:p>
      <w:pPr>
        <w:spacing w:after="50" w:line="232"/>
        <w:ind w:left="360" w:hanging="3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18"/>
          <w:szCs w:val="18"/>
        </w:rPr>
        <w:t xml:space="preserve">LangChain. (2026). LangGraph documentation. https://langchain-ai.github.io/langgraph/</w:t>
      </w:r>
    </w:p>
    <w:p>
      <w:pPr>
        <w:spacing w:after="50" w:line="232"/>
        <w:ind w:left="360" w:hanging="3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18"/>
          <w:szCs w:val="18"/>
        </w:rPr>
        <w:t xml:space="preserve">Lewis, P., Perez, E., Piktus, A., Petroni, F., Karpukhin, V., Goyal, N., ... Riedel, S. (2020). Retrieval-augmented generation for knowledge-intensive NLP tasks. Advances in Neural Information Processing Systems, 33, 9459–9474. https://arxiv.org/abs/2005.11401</w:t>
      </w:r>
    </w:p>
    <w:p>
      <w:pPr>
        <w:spacing w:after="50" w:line="232"/>
        <w:ind w:left="360" w:hanging="3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18"/>
          <w:szCs w:val="18"/>
        </w:rPr>
        <w:t xml:space="preserve">Reimers, N., &amp; Gurevych, I. (2019). Sentence-BERT: Sentence embeddings using Siamese BERT-networks. Proceedings of EMNLP-IJCNLP 2019, 3982–3992. https://arxiv.org/abs/1908.10084</w:t>
      </w:r>
    </w:p>
    <w:p>
      <w:pPr>
        <w:spacing w:after="50" w:line="232"/>
        <w:ind w:left="360" w:hanging="3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18"/>
          <w:szCs w:val="18"/>
        </w:rPr>
        <w:t xml:space="preserve">Russell, S., &amp; Norvig, P. (2021). Artificial intelligence: A modern approach (4th ed.). Pearson.</w:t>
      </w:r>
    </w:p>
    <w:p>
      <w:pPr>
        <w:spacing w:after="50" w:line="232"/>
        <w:ind w:left="360" w:hanging="36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F24"/>
          <w:sz w:val="18"/>
          <w:szCs w:val="18"/>
        </w:rPr>
        <w:t xml:space="preserve">Yao, S., Zhao, J., Yu, D., Du, N., Shafran, I., Narasimhan, K., &amp; Cao, Y. (2023). ReAct: Synergizing reasoning and acting in language models. International Conference on Learning Representations. https://arxiv.org/abs/2210.03629</w:t>
      </w:r>
    </w:p>
    <w:sectPr>
      <w:headerReference w:type="default" r:id="rId7"/>
      <w:footerReference w:type="default" r:id="rId8"/>
      <w:pgSz w:w="12240" w:h="15840" w:orient="portrait"/>
      <w:pgMar w:top="1000" w:right="1080" w:bottom="1000" w:left="1080" w:header="42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57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 w:val="false"/>
        <w:bCs w:val="false"/>
        <w:i w:val="false"/>
        <w:iCs w:val="false"/>
        <w:color w:val="5B6570"/>
        <w:sz w:val="16"/>
        <w:szCs w:val="16"/>
      </w:rPr>
      <w:t xml:space="preserve">EP2 · ISY0101 · Agente de rescate andino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F24"/>
        <w:sz w:val="21"/>
        <w:szCs w:val="21"/>
      </w:rPr>
    </w:rPrDefault>
    <w:pPrDefault>
      <w:pPr>
        <w:spacing w:after="80"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87197e7ea1eb3efe87eee6d1dd9c5de589752f0.png"/><Relationship Id="rId10" Type="http://schemas.openxmlformats.org/officeDocument/2006/relationships/image" Target="media/42844c65372f3ebc747a105984b7103f8242ecd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Agente coordinador de busqueda y rescate andino</dc:title>
  <dc:creator>Equipo EP2 ISY0101</dc:creator>
  <dc:description>Informe EP2 ISY0101</dc:description>
  <cp:lastModifiedBy>Un-named</cp:lastModifiedBy>
  <cp:revision>1</cp:revision>
  <dcterms:created xsi:type="dcterms:W3CDTF">2026-10-20T02:13:05.791Z</dcterms:created>
  <dcterms:modified xsi:type="dcterms:W3CDTF">2026-10-20T02:13:05.792Z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