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desktop-pet</w:t>
      </w:r>
      <w:r>
        <w:t xml:space="preserve"> </w:t>
      </w:r>
      <w:r>
        <w:t xml:space="preserve">优化任务清单</w:t>
      </w:r>
    </w:p>
    <w:p>
      <w:pPr>
        <w:pStyle w:val="Subtitle"/>
      </w:pPr>
      <w:r>
        <w:t xml:space="preserve">基于</w:t>
      </w:r>
      <w:r>
        <w:t xml:space="preserve"> </w:t>
      </w:r>
      <w:r>
        <w:t xml:space="preserve">HEAD</w:t>
      </w:r>
      <w:r>
        <w:t xml:space="preserve"> </w:t>
      </w:r>
      <w:r>
        <w:t xml:space="preserve">db8944c</w:t>
      </w:r>
      <w:r>
        <w:t xml:space="preserve"> </w:t>
      </w:r>
      <w:r>
        <w:t xml:space="preserve">的结构评审</w:t>
      </w:r>
      <w:r>
        <w:t xml:space="preserve"> </w:t>
      </w:r>
      <w:r>
        <w:t xml:space="preserve">·</w:t>
      </w:r>
      <w:r>
        <w:t xml:space="preserve"> </w:t>
      </w:r>
      <w:r>
        <w:t xml:space="preserve">2026-10-12</w:t>
      </w:r>
    </w:p>
    <w:bookmarkStart w:id="20" w:name="一说明"/>
    <w:p>
      <w:pPr>
        <w:pStyle w:val="Heading2"/>
      </w:pPr>
      <w:r>
        <w:t xml:space="preserve">一、说明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工时口径</w:t>
      </w:r>
      <w:r>
        <w:t xml:space="preserve">：一名熟悉本仓库的开发者的净编码+自测时间（人时）。走「外部模型实现 + PM 验收」流水线时，建议每张卡另加约 30% 作为派单与验收开销。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难度</w:t>
      </w:r>
      <w:r>
        <w:t xml:space="preserve">：低 = 局部改动、风险小；中 = 跨文件或需补测试、有回归风险；高 = 跨层改动或需要设计决策。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排序原则</w:t>
      </w:r>
      <w:r>
        <w:t xml:space="preserve">：先止血（安全缺口、仓库卫生），再打底座（CI、测试），然后统一契约（SDK、schema），最后做结构迁移与架构演进。同一阶段内，按依赖关系和「收益/成本」排序。</w:t>
      </w:r>
    </w:p>
    <w:p>
      <w:pPr>
        <w:pStyle w:val="Compact"/>
        <w:numPr>
          <w:ilvl w:val="0"/>
          <w:numId w:val="1001"/>
        </w:numPr>
      </w:pPr>
      <w:r>
        <w:t xml:space="preserve">每张卡的验收标准沿用仓库约定：</w:t>
      </w:r>
      <w:r>
        <w:rPr>
          <w:b/>
          <w:bCs/>
        </w:rPr>
        <w:t xml:space="preserve">断言只许变严不许变松</w:t>
      </w:r>
      <w:r>
        <w:t xml:space="preserve">，现有 verify 套件不得回退。</w:t>
      </w:r>
    </w:p>
    <w:bookmarkEnd w:id="20"/>
    <w:bookmarkStart w:id="21" w:name="二阶段总览共-43-项约-227.5-人时"/>
    <w:p>
      <w:pPr>
        <w:pStyle w:val="Heading2"/>
      </w:pPr>
      <w:r>
        <w:t xml:space="preserve">二、阶段总览（共 43 项，约 227.5 人时）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任务数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工时(h)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低/中/高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P0 安全止血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5/2/0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补上 Rust 侧能力门禁的缺口，清理泄漏本机信息的文件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P1 工程底座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3/4/0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让验收由机器完成：CI、lint、构建配置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P1 测试补齐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2/3/0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补上安全核心与前端运行时的单测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P1 状态一致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0/1/0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启停状态与授权表统一由 Rust 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P2 SDK 与契约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1/4/0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能力名、topic、manifest 只保留一个来源，插件纳入类型检查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P2 结构整理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3/4/0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整理根目录、文档分层，并让文档与代码保持同步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P3 模块拆分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0/6/0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把超过 20KB 的大文件拆小，降低外部模型改错的风险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P3 架构演进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0/0/3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统一命令分层和错误模型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P4 长期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0/0/2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真正的插件隔离，开放第三方生态前必须完成</w:t>
            </w:r>
          </w:p>
        </w:tc>
      </w:tr>
    </w:tbl>
    <w:bookmarkEnd w:id="21"/>
    <w:bookmarkStart w:id="31" w:name="三排序后的任务清单"/>
    <w:p>
      <w:pPr>
        <w:pStyle w:val="Heading2"/>
      </w:pPr>
      <w:r>
        <w:t xml:space="preserve">三、排序后的任务清单</w:t>
      </w:r>
    </w:p>
    <w:bookmarkStart w:id="22" w:name="p0-安全止血14.5-h"/>
    <w:p>
      <w:pPr>
        <w:pStyle w:val="Heading3"/>
      </w:pPr>
      <w:r>
        <w:t xml:space="preserve">P0 安全止血（14.5 h）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任务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领域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难度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工时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依赖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验收标准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S1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store_get/set/delete 加 storage 能力校验，plugin_file 改用 is_safe_id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Rust 安全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未授权/非法 id/盘符 id(如 C:) 三类调用均被拒；新增 cargo test ≥3 条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S2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bus_publish 在 Rust 侧校验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&lt;pluginId&gt;: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前缀与 bus:publish 授权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Rust 安全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直接 invoke 发布他人前缀 topic 被拒；verify 套件不回退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S3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overlay_show/hide/destroy 在 Rust 侧校验 overlay 授权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Rust 安全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未声明 overlay 的插件 invoke 被拒；cargo test 覆盖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S4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合并三套 id 校验（is_safe_id / valid_id / store 手写）为 ids.rs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Rust 重构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S1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全仓只剩一个实现；gate/ble/http/overlay/permission/store 均引用它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S5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命令门禁覆盖测试：带 plugin_id 的命令必须经过 gate::plugin_capability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Rust 测试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S1,S2,S3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新增命令漏门禁时测试变红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S6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删除 .dispatch 下带 D: 绝对路径的重复测试副本，work/ 加入 .gitignore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仓库卫生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仓库内 grep 不到 D:/test；unit:astock 仍通过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S7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移除 scripts/gh-auth.cmd，Cargo authors 改真实信息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仓库卫生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0.5h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文件已从 HEAD 移除</w:t>
            </w:r>
          </w:p>
        </w:tc>
      </w:tr>
    </w:tbl>
    <w:bookmarkEnd w:id="22"/>
    <w:bookmarkStart w:id="23" w:name="p1-工程底座18-h"/>
    <w:p>
      <w:pPr>
        <w:pStyle w:val="Heading3"/>
      </w:pPr>
      <w:r>
        <w:t xml:space="preserve">P1 工程底座（18 h）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任务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领域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难度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工时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依赖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验收标准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E1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scripts/ 拆为 tests/unit、tests/e2e/harness、tools/（纯 git mv + 改 package.json 路径）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结构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S6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所有 npm 脚本路径可用；单独一个只含移动的 PR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E2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GitHub Actions CI（windows-latest）：tsc、unit、cargo fmt/clippy/test、tauri build –debug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E1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 上自动跑且全绿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E3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清理 clippy -D warnings 与 rustfmt 基线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Rust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E2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 中 clippy/fmt 步骤通过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E4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接入 ESLint + Prettier（或 Biome）并修现有告警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前端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E2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lint 步骤进 CI 且通过；去掉无效的 eslint-disable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E5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vite.config 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@types/node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去 ts-expect-error；tsconfig target ES2022 并覆盖配置文件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前端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tsc 通过，无 ts-expect-error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E6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Cargo crate-type 只留 rlib；bundle.targets 改 [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nsis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]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构建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E2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release 构建通过且 verify:release 12 条不回退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E7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capabilities/default.json 按窗口拆成 pet/settings/overlay/consent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Tauri 安全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consent/overlay 不再拥有拖拽、穿透、光标轮询权限；verify 不回退</w:t>
            </w:r>
          </w:p>
        </w:tc>
      </w:tr>
    </w:tbl>
    <w:bookmarkEnd w:id="23"/>
    <w:bookmarkStart w:id="24" w:name="p1-测试补齐22-h"/>
    <w:p>
      <w:pPr>
        <w:pStyle w:val="Heading3"/>
      </w:pPr>
      <w:r>
        <w:t xml:space="preserve">P1 测试补齐（22 h）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任务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领域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难度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工时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依赖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验收标准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Q1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permission.rs 单测（声明校验、授权/撤销、同意框关闭即拒绝）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Rust 测试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S4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≥8 条 cargo test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16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Q2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unit-*.mjs 迁到 node:test + node:assert，公共断言去重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测试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E1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条数不少于 433；CI 输出分组结果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17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Q3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前端运行时单测：state-machine、topic-acl、event-bus、plugin-url、enqueue、validateManifest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测试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Q2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≥40 条，覆盖优先级队列、续期、45s 回落、深度上限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Q4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插件纯函数单测：todo-txt 解析/格式化、hr-ble BPM uint8/uint16 解析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测试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Q2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≥20 条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19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Q5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ble.rs 抽出可测纯逻辑（持有者计数、数据解析）并单测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Rust 测试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≥6 条 cargo test，不依赖真蓝牙</w:t>
            </w:r>
          </w:p>
        </w:tc>
      </w:tr>
    </w:tbl>
    <w:bookmarkEnd w:id="24"/>
    <w:bookmarkStart w:id="25" w:name="p1-状态一致6-h"/>
    <w:p>
      <w:pPr>
        <w:pStyle w:val="Heading3"/>
      </w:pPr>
      <w:r>
        <w:t xml:space="preserve">P1 状态一致（6 h）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任务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领域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难度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工时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依赖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验收标准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C1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插件启停状态从 localStorage 迁到 Rust（原子写），含一次性迁移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运行时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S4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清 WebView 缓存后启停状态保留；verify 不回退</w:t>
            </w:r>
          </w:p>
        </w:tc>
      </w:tr>
    </w:tbl>
    <w:bookmarkEnd w:id="25"/>
    <w:bookmarkStart w:id="26" w:name="p2-sdk-与契约24-h"/>
    <w:p>
      <w:pPr>
        <w:pStyle w:val="Heading3"/>
      </w:pPr>
      <w:r>
        <w:t xml:space="preserve">P2 SDK 与契约（24 h）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任务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领域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难度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工时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依赖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验收标准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K1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packages/sdk/index.d.ts：PluginContext、PetAction 九状态、manifest 类型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SDK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bridge.ts 不再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PluginContext = any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K2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标准 topic 常量收进 SDK，插件私有 topic 留本地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SDK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K1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todo:changed 等只定义一处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K3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capabilities.json 作能力名单一来源，Rust/TS 一致性测试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SDK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K1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AGENT_HOOKS_CAP 等不再双写；改一边测试即红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K4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manifest.schema.json + apiVersion/minHostVersion，前端与 Rust 共用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SDK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K1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两侧用同一 schema；不兼容插件被拒并提示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K5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插件 //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@ts-check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tsconfig.plugins.json(checkJs)，修类型错误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插件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K1,K2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四个插件 tsc 0 error，进 CI</w:t>
            </w:r>
          </w:p>
        </w:tc>
      </w:tr>
    </w:tbl>
    <w:bookmarkEnd w:id="26"/>
    <w:bookmarkStart w:id="27" w:name="p2-结构整理20-h"/>
    <w:p>
      <w:pPr>
        <w:pStyle w:val="Heading3"/>
      </w:pPr>
      <w:r>
        <w:t xml:space="preserve">P2 结构整理（20 h）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任务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领域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难度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工时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依赖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验收标准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26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HTML 入口移入 src/</w:t>
            </w:r>
            <w:r>
              <w:rPr>
                <w:sz w:val="18"/>
              </w:rPr>
              <w:t xml:space="preserve">/index.html，同步 vite input 与 Rust 建窗 URL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结构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E2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四个窗口 dev/打包均能打开；verify:release 通过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27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根目录收纳：app-icon → assets/，PLUGIN_SDK/CONTEXT → docs/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结构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根目录 ≤12 项；链接无 404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docs 分层 architecture / plugin-dev / process，修交叉链接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文档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全仓相对链接可达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29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R4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.dispatch 去向落地（迁 GitHub Issues/Projects 或 docs/process/dispatch/</w:t>
            </w:r>
            <w:r>
              <w:rPr>
                <w:sz w:val="18"/>
              </w:rPr>
              <w:t xml:space="preserve">）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流程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S6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无中文路径；卡片与结果可追溯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R5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AGENTS.md 瘦身至 ≤5KB，约定/误判先例移入 conventions.md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文档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核心硬约束全部保留；新文件被索引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R6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ARCHITECTURE §4 目录树与 README 目录速览同步现状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文档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R1,R3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列出全部 services/window 模块与 4 个插件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R7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tools/check-docs.mjs：校验文档目录树与实际一致，进 CI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R6,E2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删一个模块而文档未改时 CI 变红</w:t>
            </w:r>
          </w:p>
        </w:tc>
      </w:tr>
    </w:tbl>
    <w:bookmarkEnd w:id="27"/>
    <w:bookmarkStart w:id="28" w:name="p3-模块拆分29-h"/>
    <w:p>
      <w:pPr>
        <w:pStyle w:val="Heading3"/>
      </w:pPr>
      <w:r>
        <w:t xml:space="preserve">P3 模块拆分（29 h）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任务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领域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难度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工时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依赖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验收标准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settings/main.ts 拆为 nav / sections/* / plugin-page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前端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Q3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单文件 ≤6KB；verify 不回退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34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err-overlay 内联样式移入 CSS，评估收紧 style-src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unsafe-inline</w:t>
            </w:r>
            <w:r>
              <w:rPr>
                <w:sz w:val="18"/>
              </w:rPr>
              <w:t xml:space="preserve">’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前端安全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E6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index.html 无内联样式；CSP 结论写入 ADR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35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astock market.js 按源拆 sources/{eastmoney,tencent,sina} + registry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插件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Q2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433 条单测与 verify:astock 154 条全绿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36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M4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astock index.js / widget.js 按视图拆分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插件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单文件 ≤12KB；verify:astock 不回退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37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M5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 → com.pet.todo 改名，迁移存储目录与授权表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插件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C1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老用户数据无损迁移；verify:todo 通过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38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M6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skins.rs、agent.rs 拆子模块（protocol/download/ingest/watcher/normalize）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Rust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E3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cargo test 72+ 全绿；单文件 ≤10KB</w:t>
            </w:r>
          </w:p>
        </w:tc>
      </w:tr>
    </w:tbl>
    <w:bookmarkEnd w:id="28"/>
    <w:bookmarkStart w:id="29" w:name="p3-架构演进30-h"/>
    <w:p>
      <w:pPr>
        <w:pStyle w:val="Heading3"/>
      </w:pPr>
      <w:r>
        <w:t xml:space="preserve">P3 架构演进（30 h）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任务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领域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难度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工时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依赖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验收标准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39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A1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统一命令分层约定（commands 薄层 or 服务自带）并迁移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Rust 架构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S5,M6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约定写入 ADR；全部命令符合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40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A2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HostError（thiserror，code+message）替代 Result&lt;_,String&gt;，前端按 code 分支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Rust+前端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12h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A1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无前端字符串匹配错误；verify 不回退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41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A3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可选 e2e 工作流：CI 里跑 dev:debug + verify 套件（workflow_dispatch）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E2,E1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手动触发可跑通 verify/verify:agent</w:t>
            </w:r>
          </w:p>
        </w:tc>
      </w:tr>
    </w:tbl>
    <w:bookmarkEnd w:id="29"/>
    <w:bookmarkStart w:id="30" w:name="p4-长期64-h"/>
    <w:p>
      <w:pPr>
        <w:pStyle w:val="Heading3"/>
      </w:pPr>
      <w:r>
        <w:t xml:space="preserve">P4 长期（64 h）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任务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领域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难度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工时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依赖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验收标准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42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L1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Web Worker 插件宿主：ADR + 原型（插件身份由宿主分配，不可伪造）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运行时安全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16h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K1,S5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ADR 获批；todo 插件在 Worker 中跑通</w:t>
            </w:r>
          </w:p>
        </w:tc>
      </w:tr>
      <w:tr>
        <w:tc>
          <w:tcPr>
            <w:tcW w:type="dxa" w:w="4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43</w:t>
            </w:r>
          </w:p>
        </w:tc>
        <w:tc>
          <w:tcPr>
            <w:tcW w:type="dxa" w:w="56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L2</w:t>
            </w:r>
          </w:p>
        </w:tc>
        <w:tc>
          <w:tcPr>
            <w:tcW w:type="dxa" w:w="42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Web Worker 宿主全面落地，四插件迁移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运行时安全</w:t>
            </w:r>
          </w:p>
        </w:tc>
        <w:tc>
          <w:tcPr>
            <w:tcW w:type="dxa" w:w="62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高</w:t>
            </w:r>
          </w:p>
        </w:tc>
        <w:tc>
          <w:tcPr>
            <w:tcW w:type="dxa" w:w="68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48h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L1</w:t>
            </w:r>
          </w:p>
        </w:tc>
        <w:tc>
          <w:tcPr>
            <w:tcW w:type="dxa" w:w="498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同 realm 越权用例全部被拒；全部 verify 通过</w:t>
            </w:r>
          </w:p>
        </w:tc>
      </w:tr>
    </w:tbl>
    <w:bookmarkEnd w:id="30"/>
    <w:bookmarkEnd w:id="31"/>
    <w:bookmarkStart w:id="32" w:name="四建议排期单人每天约-6-个有效人时"/>
    <w:p>
      <w:pPr>
        <w:pStyle w:val="Heading2"/>
      </w:pPr>
      <w:r>
        <w:t xml:space="preserve">四、建议排期（单人，每天约 6 个有效人时）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第 1 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S1–S7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安全止血 + 仓库卫生，可当天合入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第 2–3 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E1–E7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 绿灯，之后每张卡都由 CI 把关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第 4–6 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Q1–Q5、C1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测试补齐，启停状态收归 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第 2 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K1–K5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SDK 与契约，插件纳入类型检查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第 2–3 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R1–R7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结构与文档整理（目录迁移的 PR 只做 git mv）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第 3–4 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M1–M6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大文件拆分（在单测保护下进行）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第 4–5 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A1–A3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命令分层、错误模型、e2e 进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之后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L1–L2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Web Worker 宿主（开放第三方之前完成）</w:t>
            </w:r>
          </w:p>
        </w:tc>
      </w:tr>
    </w:tbl>
    <w:bookmarkEnd w:id="32"/>
    <w:bookmarkStart w:id="33" w:name="五可并行派发建议并发上限-3"/>
    <w:p>
      <w:pPr>
        <w:pStyle w:val="Heading2"/>
      </w:pPr>
      <w:r>
        <w:t xml:space="preserve">五、可并行派发建议（并发上限 3）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第一批</w:t>
      </w:r>
      <w:r>
        <w:t xml:space="preserve">：S1、S2、S3 互不依赖，可以同时派发；S6、S7 由 PM 自己顺手处理。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第二批</w:t>
      </w:r>
      <w:r>
        <w:t xml:space="preserve">：E2 合入后，E3、E4、E7 可以并行。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第三批</w:t>
      </w:r>
      <w:r>
        <w:t xml:space="preserve">：Q2 完成后，Q3、Q4 可以并行；Q1、Q5 不依赖 Q2，随时可以插入。</w:t>
      </w:r>
    </w:p>
    <w:p>
      <w:pPr>
        <w:pStyle w:val="Compact"/>
        <w:numPr>
          <w:ilvl w:val="0"/>
          <w:numId w:val="1002"/>
        </w:numPr>
      </w:pPr>
      <w:r>
        <w:t xml:space="preserve">K1 是 K2–K5 的共同前置，必须先单独完成。</w:t>
      </w:r>
    </w:p>
    <w:p>
      <w:pPr>
        <w:pStyle w:val="Compact"/>
        <w:numPr>
          <w:ilvl w:val="0"/>
          <w:numId w:val="1002"/>
        </w:numPr>
      </w:pPr>
      <w:r>
        <w:t xml:space="preserve">目录迁移类（E1、R1、R2、R3）会大面积改动文件路径，要串行执行，不要和其他卡同时在途，避免冲突。</w:t>
      </w:r>
    </w:p>
    <w:bookmarkEnd w:id="33"/>
    <w:bookmarkStart w:id="34" w:name="六风险与假设"/>
    <w:p>
      <w:pPr>
        <w:pStyle w:val="Heading2"/>
      </w:pPr>
      <w:r>
        <w:t xml:space="preserve">六、风险与假设</w:t>
      </w:r>
    </w:p>
    <w:p>
      <w:pPr>
        <w:pStyle w:val="Compact"/>
        <w:numPr>
          <w:ilvl w:val="0"/>
          <w:numId w:val="1003"/>
        </w:numPr>
      </w:pPr>
      <w:r>
        <w:t xml:space="preserve">E3（clippy 基线）的工时取决于现有告警数，实际可能在 1–6h 之间浮动。</w:t>
      </w:r>
    </w:p>
    <w:p>
      <w:pPr>
        <w:pStyle w:val="Compact"/>
        <w:numPr>
          <w:ilvl w:val="0"/>
          <w:numId w:val="1003"/>
        </w:numPr>
      </w:pPr>
      <w:r>
        <w:t xml:space="preserve">R1 会改动窗口 URL，同时影响 Rust 建窗代码和打包产物，必须用 verify:release 兜底。</w:t>
      </w:r>
    </w:p>
    <w:p>
      <w:pPr>
        <w:pStyle w:val="Compact"/>
        <w:numPr>
          <w:ilvl w:val="0"/>
          <w:numId w:val="1003"/>
        </w:numPr>
      </w:pPr>
      <w:r>
        <w:t xml:space="preserve">C1、M5 涉及老用户数据迁移，要先写好迁移的单测再改代码。</w:t>
      </w:r>
    </w:p>
    <w:p>
      <w:pPr>
        <w:pStyle w:val="Compact"/>
        <w:numPr>
          <w:ilvl w:val="0"/>
          <w:numId w:val="1003"/>
        </w:numPr>
      </w:pPr>
      <w:r>
        <w:t xml:space="preserve">L2 的 48h 是粗估，L1 原型完成后需要重新评估。</w:t>
      </w:r>
    </w:p>
    <w:bookmarkEnd w:id="34"/>
    <w:sectPr>
      <w:pgSz w:orient="landscape" w:w="16838" w:h="11906"/>
      <w:pgMar w:left="907" w:right="907" w:top="907" w:bottom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Microsoft YaHei" w:hAnsi="Microsoft YaHei" w:eastAsia="Microsoft YaHei"/>
    </w:rPr>
  </w:style>
  <w:style w:customStyle="1" w:styleId="FirstParagraph" w:type="paragraph">
    <w:name w:val="First Paragraph"/>
    <w:basedOn w:val="BodyText"/>
    <w:next w:val="BodyText"/>
    <w:qFormat/>
    <w:rPr>
      <w:rFonts w:ascii="Microsoft YaHei" w:hAnsi="Microsoft YaHei" w:eastAsia="Microsoft Ya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icrosoft YaHei" w:hAnsi="Microsoft YaHei" w:eastAsia="Microsoft Ya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icrosoft YaHei" w:hAnsi="Microsoft YaHei" w:eastAsia="Microsoft Ya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Microsoft YaHei" w:hAnsi="Microsoft YaHei" w:eastAsia="Microsoft YaHei"/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icrosoft YaHei" w:hAnsi="Microsoft YaHei" w:eastAsia="Microsoft Ya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icrosoft YaHei" w:hAnsi="Microsoft YaHei" w:eastAsia="Microsoft Ya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Microsoft YaHei" w:hAnsi="Microsoft YaHei" w:eastAsia="Microsoft YaHe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Microsoft YaHei" w:hAnsi="Microsoft YaHei" w:eastAsia="Microsoft Ya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icrosoft YaHei" w:hAnsi="Microsoft YaHei" w:eastAsia="Microsoft Ya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icrosoft YaHei" w:hAnsi="Microsoft YaHei" w:eastAsia="Microsoft YaHei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Microsoft YaHei" w:hAnsi="Microsoft YaHei" w:eastAsia="Microsoft YaHei"/>
    </w:rPr>
  </w:style>
  <w:style w:default="1" w:styleId="DefaultParagraphFont" w:type="character">
    <w:name w:val="Default Paragraph Font"/>
    <w:semiHidden/>
    <w:unhideWhenUsed/>
    <w:rPr>
      <w:rFonts w:ascii="Microsoft YaHei" w:hAnsi="Microsoft YaHei" w:eastAsia="Microsoft YaHei"/>
    </w:rPr>
  </w:style>
  <w:style w:default="1" w:styleId="Table" w:type="table">
    <w:name w:val="Table"/>
    <w:basedOn w:val="TableNormal"/>
    <w:semiHidden/>
    <w:unhideWhenUsed/>
    <w:qFormat/>
    <w:rPr>
      <w:rFonts w:ascii="Microsoft YaHei" w:hAnsi="Microsoft YaHei" w:eastAsia="Microsoft Ya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icrosoft YaHei" w:hAnsi="Microsoft YaHei" w:eastAsia="Microsoft YaHei"/>
      <w:b/>
    </w:rPr>
  </w:style>
  <w:style w:customStyle="1" w:styleId="Definition" w:type="paragraph">
    <w:name w:val="Definition"/>
    <w:basedOn w:val="Normal"/>
    <w:rPr>
      <w:rFonts w:ascii="Microsoft YaHei" w:hAnsi="Microsoft YaHei" w:eastAsia="Microsoft Ya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icrosoft YaHei" w:hAnsi="Microsoft YaHei" w:eastAsia="Microsoft YaHei"/>
      <w:i/>
    </w:rPr>
  </w:style>
  <w:style w:customStyle="1" w:styleId="TableCaption" w:type="paragraph">
    <w:name w:val="Table Caption"/>
    <w:basedOn w:val="Caption"/>
    <w:pPr>
      <w:keepNext/>
    </w:pPr>
    <w:rPr>
      <w:rFonts w:ascii="Microsoft YaHei" w:hAnsi="Microsoft YaHei" w:eastAsia="Microsoft YaHei"/>
    </w:rPr>
  </w:style>
  <w:style w:customStyle="1" w:styleId="ImageCaption" w:type="paragraph">
    <w:name w:val="Image Caption"/>
    <w:basedOn w:val="Caption"/>
    <w:rPr>
      <w:rFonts w:ascii="Microsoft YaHei" w:hAnsi="Microsoft YaHei" w:eastAsia="Microsoft YaHei"/>
    </w:rPr>
  </w:style>
  <w:style w:customStyle="1" w:styleId="Figure" w:type="paragraph">
    <w:name w:val="Figure"/>
    <w:basedOn w:val="Normal"/>
    <w:rPr>
      <w:rFonts w:ascii="Microsoft YaHei" w:hAnsi="Microsoft YaHei" w:eastAsia="Microsoft YaHei"/>
    </w:rPr>
  </w:style>
  <w:style w:customStyle="1" w:styleId="CaptionedFigure" w:type="paragraph">
    <w:name w:val="Captioned Figure"/>
    <w:basedOn w:val="Figure"/>
    <w:pPr>
      <w:keepNext/>
    </w:pPr>
    <w:rPr>
      <w:rFonts w:ascii="Microsoft YaHei" w:hAnsi="Microsoft YaHei" w:eastAsia="Microsoft YaHei"/>
    </w:rPr>
  </w:style>
  <w:style w:customStyle="1" w:styleId="BodyTextChar" w:type="character">
    <w:name w:val="Body Text Char"/>
    <w:basedOn w:val="DefaultParagraphFont"/>
    <w:link w:val="BodyText"/>
    <w:rPr>
      <w:rFonts w:ascii="Microsoft YaHei" w:hAnsi="Microsoft YaHei" w:eastAsia="Microsoft YaHei"/>
    </w:rPr>
  </w:style>
  <w:style w:customStyle="1" w:styleId="VerbatimChar" w:type="character">
    <w:name w:val="Verbatim Char"/>
    <w:basedOn w:val="BodyTextChar"/>
    <w:rPr>
      <w:rFonts w:ascii="Microsoft YaHei" w:hAnsi="Microsoft YaHei" w:eastAsia="Microsoft YaHei"/>
      <w:sz w:val="22"/>
    </w:rPr>
  </w:style>
  <w:style w:customStyle="1" w:styleId="SectionNumber" w:type="character">
    <w:name w:val="Section Number"/>
    <w:basedOn w:val="BodyTextChar"/>
    <w:rPr>
      <w:rFonts w:ascii="Microsoft YaHei" w:hAnsi="Microsoft YaHei" w:eastAsia="Microsoft YaHei"/>
    </w:rPr>
  </w:style>
  <w:style w:styleId="FootnoteReference" w:type="character">
    <w:name w:val="Footnote Reference"/>
    <w:basedOn w:val="BodyTextChar"/>
    <w:rPr>
      <w:rFonts w:ascii="Microsoft YaHei" w:hAnsi="Microsoft YaHei" w:eastAsia="Microsoft YaHei"/>
      <w:vertAlign w:val="superscript"/>
    </w:rPr>
  </w:style>
  <w:style w:styleId="Hyperlink" w:type="character">
    <w:name w:val="Hyperlink"/>
    <w:basedOn w:val="BodyTextChar"/>
    <w:rPr>
      <w:rFonts w:ascii="Microsoft YaHei" w:hAnsi="Microsoft YaHei" w:eastAsia="Microsoft Ya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Microsoft YaHei" w:hAnsi="Microsoft YaHe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icrosoft YaHei" w:hAnsi="Microsoft YaHei" w:eastAsia="Microsoft YaHei"/>
    </w:rPr>
  </w:style>
  <w:style w:type="character" w:customStyle="1" w:styleId="KeywordTok">
    <w:name w:val="KeywordTok"/>
    <w:basedOn w:val="VerbatimChar"/>
    <w:rPr>
      <w:rFonts w:ascii="Microsoft YaHei" w:hAnsi="Microsoft YaHei" w:eastAsia="Microsoft YaHei"/>
      <w:b/>
      <w:color w:val="007020"/>
    </w:rPr>
  </w:style>
  <w:style w:type="character" w:customStyle="1" w:styleId="DataTypeTok">
    <w:name w:val="DataTypeTok"/>
    <w:basedOn w:val="VerbatimChar"/>
    <w:rPr>
      <w:rFonts w:ascii="Microsoft YaHei" w:hAnsi="Microsoft YaHei" w:eastAsia="Microsoft YaHei"/>
      <w:color w:val="902000"/>
    </w:rPr>
  </w:style>
  <w:style w:type="character" w:customStyle="1" w:styleId="DecValTok">
    <w:name w:val="DecValTok"/>
    <w:basedOn w:val="VerbatimChar"/>
    <w:rPr>
      <w:rFonts w:ascii="Microsoft YaHei" w:hAnsi="Microsoft YaHei" w:eastAsia="Microsoft YaHei"/>
      <w:color w:val="40a070"/>
    </w:rPr>
  </w:style>
  <w:style w:type="character" w:customStyle="1" w:styleId="BaseNTok">
    <w:name w:val="BaseNTok"/>
    <w:basedOn w:val="VerbatimChar"/>
    <w:rPr>
      <w:rFonts w:ascii="Microsoft YaHei" w:hAnsi="Microsoft YaHei" w:eastAsia="Microsoft YaHei"/>
      <w:color w:val="40a070"/>
    </w:rPr>
  </w:style>
  <w:style w:type="character" w:customStyle="1" w:styleId="FloatTok">
    <w:name w:val="FloatTok"/>
    <w:basedOn w:val="VerbatimChar"/>
    <w:rPr>
      <w:rFonts w:ascii="Microsoft YaHei" w:hAnsi="Microsoft YaHei" w:eastAsia="Microsoft YaHei"/>
      <w:color w:val="40a070"/>
    </w:rPr>
  </w:style>
  <w:style w:type="character" w:customStyle="1" w:styleId="ConstantTok">
    <w:name w:val="ConstantTok"/>
    <w:basedOn w:val="VerbatimChar"/>
    <w:rPr>
      <w:rFonts w:ascii="Microsoft YaHei" w:hAnsi="Microsoft YaHei" w:eastAsia="Microsoft YaHei"/>
      <w:color w:val="880000"/>
    </w:rPr>
  </w:style>
  <w:style w:type="character" w:customStyle="1" w:styleId="CharTok">
    <w:name w:val="Char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CharTok">
    <w:name w:val="SpecialCharTok"/>
    <w:basedOn w:val="VerbatimChar"/>
    <w:rPr>
      <w:rFonts w:ascii="Microsoft YaHei" w:hAnsi="Microsoft YaHei" w:eastAsia="Microsoft YaHei"/>
      <w:color w:val="4070a0"/>
    </w:rPr>
  </w:style>
  <w:style w:type="character" w:customStyle="1" w:styleId="StringTok">
    <w:name w:val="StringTok"/>
    <w:basedOn w:val="VerbatimChar"/>
    <w:rPr>
      <w:rFonts w:ascii="Microsoft YaHei" w:hAnsi="Microsoft YaHei" w:eastAsia="Microsoft YaHei"/>
      <w:color w:val="4070a0"/>
    </w:rPr>
  </w:style>
  <w:style w:type="character" w:customStyle="1" w:styleId="VerbatimStringTok">
    <w:name w:val="VerbatimString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StringTok">
    <w:name w:val="SpecialStringTok"/>
    <w:basedOn w:val="VerbatimChar"/>
    <w:rPr>
      <w:rFonts w:ascii="Microsoft YaHei" w:hAnsi="Microsoft YaHei" w:eastAsia="Microsoft YaHei"/>
      <w:color w:val="bb6688"/>
    </w:rPr>
  </w:style>
  <w:style w:type="character" w:customStyle="1" w:styleId="ImportTok">
    <w:name w:val="ImportTok"/>
    <w:basedOn w:val="VerbatimChar"/>
    <w:rPr>
      <w:rFonts w:ascii="Microsoft YaHei" w:hAnsi="Microsoft YaHei" w:eastAsia="Microsoft YaHei"/>
      <w:b/>
      <w:color w:val="008000"/>
    </w:rPr>
  </w:style>
  <w:style w:type="character" w:customStyle="1" w:styleId="CommentTok">
    <w:name w:val="CommentTok"/>
    <w:basedOn w:val="VerbatimChar"/>
    <w:rPr>
      <w:rFonts w:ascii="Microsoft YaHei" w:hAnsi="Microsoft YaHei" w:eastAsia="Microsoft YaHei"/>
      <w:i/>
      <w:color w:val="60a0b0"/>
    </w:rPr>
  </w:style>
  <w:style w:type="character" w:customStyle="1" w:styleId="DocumentationTok">
    <w:name w:val="DocumentationTok"/>
    <w:basedOn w:val="VerbatimChar"/>
    <w:rPr>
      <w:rFonts w:ascii="Microsoft YaHei" w:hAnsi="Microsoft YaHei" w:eastAsia="Microsoft YaHei"/>
      <w:i/>
      <w:color w:val="ba2121"/>
    </w:rPr>
  </w:style>
  <w:style w:type="character" w:customStyle="1" w:styleId="AnnotationTok">
    <w:name w:val="AnnotationTok"/>
    <w:basedOn w:val="VerbatimChar"/>
    <w:rPr>
      <w:rFonts w:ascii="Microsoft YaHei" w:hAnsi="Microsoft YaHei" w:eastAsia="Microsoft YaHei"/>
      <w:b/>
      <w:i/>
      <w:color w:val="60a0b0"/>
    </w:rPr>
  </w:style>
  <w:style w:type="character" w:customStyle="1" w:styleId="CommentVarTok">
    <w:name w:val="CommentVarTok"/>
    <w:basedOn w:val="VerbatimChar"/>
    <w:rPr>
      <w:rFonts w:ascii="Microsoft YaHei" w:hAnsi="Microsoft YaHei" w:eastAsia="Microsoft YaHei"/>
      <w:b/>
      <w:i/>
      <w:color w:val="60a0b0"/>
    </w:rPr>
  </w:style>
  <w:style w:type="character" w:customStyle="1" w:styleId="OtherTok">
    <w:name w:val="OtherTok"/>
    <w:basedOn w:val="VerbatimChar"/>
    <w:rPr>
      <w:rFonts w:ascii="Microsoft YaHei" w:hAnsi="Microsoft YaHei" w:eastAsia="Microsoft YaHei"/>
      <w:color w:val="007020"/>
    </w:rPr>
  </w:style>
  <w:style w:type="character" w:customStyle="1" w:styleId="FunctionTok">
    <w:name w:val="FunctionTok"/>
    <w:basedOn w:val="VerbatimChar"/>
    <w:rPr>
      <w:rFonts w:ascii="Microsoft YaHei" w:hAnsi="Microsoft YaHei" w:eastAsia="Microsoft YaHei"/>
      <w:color w:val="06287e"/>
    </w:rPr>
  </w:style>
  <w:style w:type="character" w:customStyle="1" w:styleId="VariableTok">
    <w:name w:val="VariableTok"/>
    <w:basedOn w:val="VerbatimChar"/>
    <w:rPr>
      <w:rFonts w:ascii="Microsoft YaHei" w:hAnsi="Microsoft YaHei" w:eastAsia="Microsoft YaHei"/>
      <w:color w:val="19177c"/>
    </w:rPr>
  </w:style>
  <w:style w:type="character" w:customStyle="1" w:styleId="ControlFlowTok">
    <w:name w:val="ControlFlowTok"/>
    <w:basedOn w:val="VerbatimChar"/>
    <w:rPr>
      <w:rFonts w:ascii="Microsoft YaHei" w:hAnsi="Microsoft YaHei" w:eastAsia="Microsoft YaHei"/>
      <w:b/>
      <w:color w:val="007020"/>
    </w:rPr>
  </w:style>
  <w:style w:type="character" w:customStyle="1" w:styleId="OperatorTok">
    <w:name w:val="OperatorTok"/>
    <w:basedOn w:val="VerbatimChar"/>
    <w:rPr>
      <w:rFonts w:ascii="Microsoft YaHei" w:hAnsi="Microsoft YaHei" w:eastAsia="Microsoft YaHei"/>
      <w:color w:val="666666"/>
    </w:rPr>
  </w:style>
  <w:style w:type="character" w:customStyle="1" w:styleId="BuiltInTok">
    <w:name w:val="BuiltInTok"/>
    <w:basedOn w:val="VerbatimChar"/>
    <w:rPr>
      <w:rFonts w:ascii="Microsoft YaHei" w:hAnsi="Microsoft YaHei" w:eastAsia="Microsoft YaHei"/>
      <w:color w:val="008000"/>
    </w:rPr>
  </w:style>
  <w:style w:type="character" w:customStyle="1" w:styleId="ExtensionTok">
    <w:name w:val="ExtensionTok"/>
    <w:basedOn w:val="VerbatimChar"/>
    <w:rPr>
      <w:rFonts w:ascii="Microsoft YaHei" w:hAnsi="Microsoft YaHei" w:eastAsia="Microsoft YaHei"/>
    </w:rPr>
  </w:style>
  <w:style w:type="character" w:customStyle="1" w:styleId="PreprocessorTok">
    <w:name w:val="PreprocessorTok"/>
    <w:basedOn w:val="VerbatimChar"/>
    <w:rPr>
      <w:rFonts w:ascii="Microsoft YaHei" w:hAnsi="Microsoft YaHei" w:eastAsia="Microsoft YaHei"/>
      <w:color w:val="bc7a00"/>
    </w:rPr>
  </w:style>
  <w:style w:type="character" w:customStyle="1" w:styleId="AttributeTok">
    <w:name w:val="AttributeTok"/>
    <w:basedOn w:val="VerbatimChar"/>
    <w:rPr>
      <w:rFonts w:ascii="Microsoft YaHei" w:hAnsi="Microsoft YaHei" w:eastAsia="Microsoft YaHei"/>
      <w:color w:val="7d9029"/>
    </w:rPr>
  </w:style>
  <w:style w:type="character" w:customStyle="1" w:styleId="RegionMarkerTok">
    <w:name w:val="RegionMarkerTok"/>
    <w:basedOn w:val="VerbatimChar"/>
    <w:rPr>
      <w:rFonts w:ascii="Microsoft YaHei" w:hAnsi="Microsoft YaHei" w:eastAsia="Microsoft YaHei"/>
    </w:rPr>
  </w:style>
  <w:style w:type="character" w:customStyle="1" w:styleId="InformationTok">
    <w:name w:val="InformationTok"/>
    <w:basedOn w:val="VerbatimChar"/>
    <w:rPr>
      <w:rFonts w:ascii="Microsoft YaHei" w:hAnsi="Microsoft YaHei" w:eastAsia="Microsoft YaHei"/>
      <w:b/>
      <w:i/>
      <w:color w:val="60a0b0"/>
    </w:rPr>
  </w:style>
  <w:style w:type="character" w:customStyle="1" w:styleId="WarningTok">
    <w:name w:val="WarningTok"/>
    <w:basedOn w:val="VerbatimChar"/>
    <w:rPr>
      <w:rFonts w:ascii="Microsoft YaHei" w:hAnsi="Microsoft YaHei" w:eastAsia="Microsoft YaHei"/>
      <w:b/>
      <w:i/>
      <w:color w:val="60a0b0"/>
    </w:rPr>
  </w:style>
  <w:style w:type="character" w:customStyle="1" w:styleId="AlertTok">
    <w:name w:val="AlertTok"/>
    <w:basedOn w:val="VerbatimChar"/>
    <w:rPr>
      <w:rFonts w:ascii="Microsoft YaHei" w:hAnsi="Microsoft YaHei" w:eastAsia="Microsoft YaHei"/>
      <w:b/>
      <w:color w:val="ff0000"/>
    </w:rPr>
  </w:style>
  <w:style w:type="character" w:customStyle="1" w:styleId="ErrorTok">
    <w:name w:val="ErrorTok"/>
    <w:basedOn w:val="VerbatimChar"/>
    <w:rPr>
      <w:rFonts w:ascii="Microsoft YaHei" w:hAnsi="Microsoft YaHei" w:eastAsia="Microsoft YaHei"/>
      <w:b/>
      <w:color w:val="ff0000"/>
    </w:rPr>
  </w:style>
  <w:style w:type="character" w:customStyle="1" w:styleId="NormalTok">
    <w:name w:val="NormalTok"/>
    <w:basedOn w:val="VerbatimChar"/>
    <w:rPr>
      <w:rFonts w:ascii="Microsoft YaHei" w:hAnsi="Microsoft YaHei" w:eastAsia="Microsoft Ya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desktop-pet 优化任务清单</dc:title>
  <dc:creator/>
  <cp:keywords/>
  <dcterms:created xsi:type="dcterms:W3CDTF">2026-10-12T08:39:20Z</dcterms:created>
  <dcterms:modified xsi:type="dcterms:W3CDTF">2026-10-12T08:39:20Z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基于 HEAD db8944c 的结构评审 · 2026-10-12</vt:lpwstr>
  </property>
</Properties>
</file>