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4C9C"/>
          <w:sz w:val="48"/>
          <w:szCs w:val="48"/>
        </w:rPr>
        <w:t xml:space="preserve">HVAC Landing Page</w:t>
      </w:r>
    </w:p>
    <w:p>
      <w:pPr>
        <w:spacing w:after="160" w:before="0"/>
      </w:pPr>
      <w:r>
        <w:rPr>
          <w:rFonts w:ascii="Arial" w:cs="Arial" w:eastAsia="Arial" w:hAnsi="Arial"/>
          <w:color w:val="0D61A7"/>
          <w:sz w:val="36"/>
          <w:szCs w:val="36"/>
        </w:rPr>
        <w:t xml:space="preserve">UX Improvement Summary</w:t>
      </w:r>
    </w:p>
    <w:p>
      <w:pPr>
        <w:pBdr>
          <w:bottom w:val="single" w:color="0D61A7" w:sz="4" w:space="1"/>
        </w:pBdr>
        <w:spacing w:after="0" w:before="0"/>
      </w:pPr>
    </w:p>
    <w:p>
      <w:pPr>
        <w:spacing w:after="140" w:before="0"/>
      </w:pPr>
    </w:p>
    <w:p>
      <w:pPr>
        <w:spacing w:after="60" w:before="120"/>
      </w:pPr>
      <w:r>
        <w:rPr>
          <w:rFonts w:ascii="Arial" w:cs="Arial" w:eastAsia="Arial" w:hAnsi="Arial"/>
          <w:b/>
          <w:bCs/>
          <w:color w:val="1A1A1A"/>
          <w:sz w:val="20"/>
          <w:szCs w:val="20"/>
        </w:rPr>
        <w:t xml:space="preserve">Project:  </w:t>
      </w:r>
      <w:r>
        <w:rPr>
          <w:rFonts w:ascii="Arial" w:cs="Arial" w:eastAsia="Arial" w:hAnsi="Arial"/>
          <w:color w:val="444444"/>
          <w:sz w:val="20"/>
          <w:szCs w:val="20"/>
        </w:rPr>
        <w:t xml:space="preserve">All Products Landing Pages Redesign</w:t>
      </w:r>
    </w:p>
    <w:p>
      <w:pPr>
        <w:spacing w:after="60" w:before="0"/>
      </w:pPr>
      <w:r>
        <w:rPr>
          <w:rFonts w:ascii="Arial" w:cs="Arial" w:eastAsia="Arial" w:hAnsi="Arial"/>
          <w:b/>
          <w:bCs/>
          <w:color w:val="1A1A1A"/>
          <w:sz w:val="20"/>
          <w:szCs w:val="20"/>
        </w:rPr>
        <w:t xml:space="preserve">Figma Node:  </w:t>
      </w:r>
      <w:r>
        <w:rPr>
          <w:rFonts w:ascii="Arial" w:cs="Arial" w:eastAsia="Arial" w:hAnsi="Arial"/>
          <w:color w:val="444444"/>
          <w:sz w:val="20"/>
          <w:szCs w:val="20"/>
        </w:rPr>
        <w:t xml:space="preserve">9:10747</w:t>
      </w:r>
    </w:p>
    <w:p>
      <w:pPr>
        <w:spacing w:after="60" w:before="0"/>
      </w:pPr>
      <w:r>
        <w:rPr>
          <w:rFonts w:ascii="Arial" w:cs="Arial" w:eastAsia="Arial" w:hAnsi="Arial"/>
          <w:b/>
          <w:bCs/>
          <w:color w:val="1A1A1A"/>
          <w:sz w:val="20"/>
          <w:szCs w:val="20"/>
        </w:rPr>
        <w:t xml:space="preserve">Date:  </w:t>
      </w:r>
      <w:r>
        <w:rPr>
          <w:rFonts w:ascii="Arial" w:cs="Arial" w:eastAsia="Arial" w:hAnsi="Arial"/>
          <w:color w:val="444444"/>
          <w:sz w:val="20"/>
          <w:szCs w:val="20"/>
        </w:rPr>
        <w:t xml:space="preserve">March 2026</w:t>
      </w:r>
    </w:p>
    <w:p>
      <w:pPr>
        <w:spacing w:after="60" w:before="0"/>
      </w:pPr>
      <w:r>
        <w:rPr>
          <w:rFonts w:ascii="Arial" w:cs="Arial" w:eastAsia="Arial" w:hAnsi="Arial"/>
          <w:b/>
          <w:bCs/>
          <w:color w:val="1A1A1A"/>
          <w:sz w:val="20"/>
          <w:szCs w:val="20"/>
        </w:rPr>
        <w:t xml:space="preserve">Version:  </w:t>
      </w:r>
      <w:r>
        <w:rPr>
          <w:rFonts w:ascii="Arial" w:cs="Arial" w:eastAsia="Arial" w:hAnsi="Arial"/>
          <w:color w:val="444444"/>
          <w:sz w:val="20"/>
          <w:szCs w:val="20"/>
        </w:rPr>
        <w:t xml:space="preserve">v2 — includes Iteration Log (IT-01, IT-02)</w:t>
      </w:r>
    </w:p>
    <w:p>
      <w:pPr>
        <w:spacing w:after="60" w:before="0"/>
      </w:pPr>
      <w:r>
        <w:rPr>
          <w:rFonts w:ascii="Arial" w:cs="Arial" w:eastAsia="Arial" w:hAnsi="Arial"/>
          <w:b/>
          <w:bCs/>
          <w:color w:val="1A1A1A"/>
          <w:sz w:val="20"/>
          <w:szCs w:val="20"/>
        </w:rPr>
        <w:t xml:space="preserve">Approach:  </w:t>
      </w:r>
      <w:r>
        <w:rPr>
          <w:rFonts w:ascii="Arial" w:cs="Arial" w:eastAsia="Arial" w:hAnsi="Arial"/>
          <w:color w:val="444444"/>
          <w:sz w:val="20"/>
          <w:szCs w:val="20"/>
        </w:rPr>
        <w:t xml:space="preserve">Layout &amp; UX improvements only — no visual redesign</w:t>
      </w:r>
    </w:p>
    <w:p>
      <w:pPr>
        <w:spacing w:after="60" w:before="0"/>
      </w:pPr>
      <w:r>
        <w:rPr>
          <w:rFonts w:ascii="Arial" w:cs="Arial" w:eastAsia="Arial" w:hAnsi="Arial"/>
          <w:b/>
          <w:bCs/>
          <w:color w:val="1A1A1A"/>
          <w:sz w:val="20"/>
          <w:szCs w:val="20"/>
        </w:rPr>
        <w:t xml:space="preserve">Tech Stack:  </w:t>
      </w:r>
      <w:r>
        <w:rPr>
          <w:rFonts w:ascii="Arial" w:cs="Arial" w:eastAsia="Arial" w:hAnsi="Arial"/>
          <w:color w:val="444444"/>
          <w:sz w:val="20"/>
          <w:szCs w:val="20"/>
        </w:rPr>
        <w:t xml:space="preserve">React + MUI (Material UI), mobile-first, A/B test ready</w:t>
      </w:r>
    </w:p>
    <w:p>
      <w:pPr>
        <w:spacing w:after="280" w:before="0"/>
      </w:pPr>
    </w:p>
    <w:p>
      <w:pPr>
        <w:pStyle w:val="Heading1"/>
        <w:spacing w:after="180" w:before="360"/>
      </w:pPr>
      <w:r>
        <w:rPr>
          <w:rFonts w:ascii="Arial" w:cs="Arial" w:eastAsia="Arial" w:hAnsi="Arial"/>
          <w:b/>
          <w:bCs/>
          <w:color w:val="1A4C9C"/>
          <w:sz w:val="32"/>
          <w:szCs w:val="32"/>
        </w:rPr>
        <w:t xml:space="preserve">Executive Summary</w:t>
      </w:r>
    </w:p>
    <w:p>
      <w:pPr>
        <w:pBdr>
          <w:bottom w:val="single" w:color="0D61A7" w:sz="4" w:space="1"/>
        </w:pBdr>
        <w:spacing w:after="0" w:before="0"/>
      </w:pPr>
    </w:p>
    <w:p>
      <w:pPr>
        <w:spacing w:after="70" w:before="0"/>
      </w:pPr>
    </w:p>
    <w:p>
      <w:pPr>
        <w:spacing w:after="160" w:before="0"/>
        <w:jc w:val="left"/>
      </w:pPr>
      <w:r>
        <w:rPr>
          <w:rFonts w:ascii="Arial" w:cs="Arial" w:eastAsia="Arial" w:hAnsi="Arial"/>
          <w:b w:val="false"/>
          <w:bCs w:val="false"/>
          <w:i w:val="false"/>
          <w:iCs w:val="false"/>
          <w:color w:val="1A1A1A"/>
          <w:sz w:val="20"/>
          <w:szCs w:val="20"/>
        </w:rPr>
        <w:t xml:space="preserve">This document describes five targeted UX improvements made to the Alpine Home Air HVAC landing page (node 9:10747). All changes are low-to-medium implementation lift, stay within the existing design system, and are structured for independent A/B testing.</w:t>
      </w:r>
    </w:p>
    <w:p>
      <w:pPr>
        <w:spacing w:after="120" w:before="0"/>
        <w:jc w:val="left"/>
      </w:pPr>
      <w:r>
        <w:rPr>
          <w:rFonts w:ascii="Arial" w:cs="Arial" w:eastAsia="Arial" w:hAnsi="Arial"/>
          <w:b w:val="false"/>
          <w:bCs w:val="false"/>
          <w:i w:val="false"/>
          <w:iCs w:val="false"/>
          <w:color w:val="444444"/>
          <w:sz w:val="20"/>
          <w:szCs w:val="20"/>
        </w:rPr>
        <w:t xml:space="preserve">The core hypothesis: the current page is browse-first. Users who arrive unsure of what system they need have no clear guided entry point, and trust signals appear too late to prevent early drop-off. These changes shift the page to guide-first while keeping category browsing fast and accessible.</w:t>
      </w:r>
    </w:p>
    <w:p>
      <w:pPr>
        <w:spacing w:after="140" w:before="0"/>
      </w:pPr>
    </w:p>
    <w:p>
      <w:pPr>
        <w:pStyle w:val="Heading2"/>
        <w:spacing w:after="140" w:before="300"/>
      </w:pPr>
      <w:r>
        <w:rPr>
          <w:rFonts w:ascii="Arial" w:cs="Arial" w:eastAsia="Arial" w:hAnsi="Arial"/>
          <w:b/>
          <w:bCs/>
          <w:color w:val="0D61A7"/>
          <w:sz w:val="26"/>
          <w:szCs w:val="26"/>
        </w:rPr>
        <w:t xml:space="preserve">Design Principles Applied</w:t>
      </w:r>
    </w:p>
    <w:p>
      <w:pPr>
        <w:pStyle w:val="ListParagraph"/>
        <w:numPr>
          <w:ilvl w:val="0"/>
          <w:numId w:val="2"/>
        </w:numPr>
        <w:spacing w:after="80" w:before="0"/>
      </w:pPr>
      <w:r>
        <w:rPr>
          <w:rFonts w:ascii="Arial" w:cs="Arial" w:eastAsia="Arial" w:hAnsi="Arial"/>
          <w:color w:val="1A1A1A"/>
          <w:sz w:val="20"/>
          <w:szCs w:val="20"/>
        </w:rPr>
        <w:t xml:space="preserve">Guide-first, not browse-first — direct undecided users into a decision flow</w:t>
      </w:r>
    </w:p>
    <w:p>
      <w:pPr>
        <w:pStyle w:val="ListParagraph"/>
        <w:numPr>
          <w:ilvl w:val="0"/>
          <w:numId w:val="2"/>
        </w:numPr>
        <w:spacing w:after="80" w:before="0"/>
      </w:pPr>
      <w:r>
        <w:rPr>
          <w:rFonts w:ascii="Arial" w:cs="Arial" w:eastAsia="Arial" w:hAnsi="Arial"/>
          <w:color w:val="1A1A1A"/>
          <w:sz w:val="20"/>
          <w:szCs w:val="20"/>
        </w:rPr>
        <w:t xml:space="preserve">Reduce cognitive load — clear section labels and directive headings</w:t>
      </w:r>
    </w:p>
    <w:p>
      <w:pPr>
        <w:pStyle w:val="ListParagraph"/>
        <w:numPr>
          <w:ilvl w:val="0"/>
          <w:numId w:val="2"/>
        </w:numPr>
        <w:spacing w:after="80" w:before="0"/>
      </w:pPr>
      <w:r>
        <w:rPr>
          <w:rFonts w:ascii="Arial" w:cs="Arial" w:eastAsia="Arial" w:hAnsi="Arial"/>
          <w:color w:val="1A1A1A"/>
          <w:sz w:val="20"/>
          <w:szCs w:val="20"/>
        </w:rPr>
        <w:t xml:space="preserve">Surface trust signals early — reduce perceived risk above the fold</w:t>
      </w:r>
    </w:p>
    <w:p>
      <w:pPr>
        <w:pStyle w:val="ListParagraph"/>
        <w:numPr>
          <w:ilvl w:val="0"/>
          <w:numId w:val="2"/>
        </w:numPr>
        <w:spacing w:after="80" w:before="0"/>
      </w:pPr>
      <w:r>
        <w:rPr>
          <w:rFonts w:ascii="Arial" w:cs="Arial" w:eastAsia="Arial" w:hAnsi="Arial"/>
          <w:color w:val="1A1A1A"/>
          <w:sz w:val="20"/>
          <w:szCs w:val="20"/>
        </w:rPr>
        <w:t xml:space="preserve">Make next actions obvious — CTAs sized and positioned for intent</w:t>
      </w:r>
    </w:p>
    <w:p>
      <w:pPr>
        <w:pStyle w:val="ListParagraph"/>
        <w:numPr>
          <w:ilvl w:val="0"/>
          <w:numId w:val="2"/>
        </w:numPr>
        <w:spacing w:after="80" w:before="0"/>
      </w:pPr>
      <w:r>
        <w:rPr>
          <w:rFonts w:ascii="Arial" w:cs="Arial" w:eastAsia="Arial" w:hAnsi="Arial"/>
          <w:color w:val="1A1A1A"/>
          <w:sz w:val="20"/>
          <w:szCs w:val="20"/>
        </w:rPr>
        <w:t xml:space="preserve">Mobile-first — all layouts tested at 320px, 640px, and 1280px</w:t>
      </w:r>
    </w:p>
    <w:p>
      <w:pPr>
        <w:spacing w:after="140" w:before="0"/>
      </w:pPr>
    </w:p>
    <w:p>
      <w:pPr>
        <w:pStyle w:val="Heading1"/>
        <w:spacing w:after="180" w:before="360"/>
      </w:pPr>
      <w:r>
        <w:rPr>
          <w:rFonts w:ascii="Arial" w:cs="Arial" w:eastAsia="Arial" w:hAnsi="Arial"/>
          <w:b/>
          <w:bCs/>
          <w:color w:val="1A4C9C"/>
          <w:sz w:val="32"/>
          <w:szCs w:val="32"/>
        </w:rPr>
        <w:t xml:space="preserve">Section Order Change</w:t>
      </w:r>
    </w:p>
    <w:p>
      <w:pPr>
        <w:pBdr>
          <w:bottom w:val="single" w:color="0D61A7" w:sz="4" w:space="1"/>
        </w:pBdr>
        <w:spacing w:after="0" w:before="0"/>
      </w:pPr>
    </w:p>
    <w:p>
      <w:pPr>
        <w:spacing w:after="70" w:before="0"/>
      </w:pPr>
    </w:p>
    <w:p>
      <w:pPr>
        <w:spacing w:after="140" w:before="0"/>
        <w:jc w:val="left"/>
      </w:pPr>
      <w:r>
        <w:rPr>
          <w:rFonts w:ascii="Arial" w:cs="Arial" w:eastAsia="Arial" w:hAnsi="Arial"/>
          <w:b w:val="false"/>
          <w:bCs w:val="false"/>
          <w:i w:val="false"/>
          <w:iCs w:val="false"/>
          <w:color w:val="1A1A1A"/>
          <w:sz w:val="20"/>
          <w:szCs w:val="20"/>
        </w:rPr>
        <w:t xml:space="preserve">The most impactful structural change is the reordering of page sections. The original page places trust signals after the primary conversion areas, meaning undecided users drop off before reaching them.</w:t>
      </w:r>
    </w:p>
    <w:p>
      <w:pPr>
        <w:spacing w:after="7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Section</w:t>
            </w:r>
          </w:p>
        </w:tc>
        <w:tc>
          <w:tcPr>
            <w:tcW w:type="dxa" w:w="378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Original Order</w:t>
            </w:r>
          </w:p>
        </w:tc>
        <w:tc>
          <w:tcPr>
            <w:tcW w:type="dxa" w:w="378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Improved Order</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Hero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① Hero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① Hero</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Trust Bar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 (did not exist)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② Trust Bar  ← NEW</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Decision Tools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② Shopping Tools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③ Start Here (Tools + Expert CTA)</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Categories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③ Shop by Category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④ Shop by Category</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Trust / Social Proof</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④ Why Alpine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⑤ Why Alpine</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Marketing Content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⑤ Marketing Content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 (deprioritised)</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Expert Fallback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⑥ Still Not Sure (bottom)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③ Inline with Tools  ← MOVED</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SEO Content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⑦ About / SEO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⑥ About / SEO</w:t>
            </w:r>
          </w:p>
        </w:tc>
      </w:tr>
    </w:tbl>
    <w:p>
      <w:pPr>
        <w:spacing w:after="140" w:before="0"/>
      </w:pPr>
    </w:p>
    <w:p>
      <w:pPr>
        <w:pStyle w:val="Heading1"/>
        <w:spacing w:after="180" w:before="360"/>
      </w:pPr>
      <w:r>
        <w:rPr>
          <w:rFonts w:ascii="Arial" w:cs="Arial" w:eastAsia="Arial" w:hAnsi="Arial"/>
          <w:b/>
          <w:bCs/>
          <w:color w:val="1A4C9C"/>
          <w:sz w:val="32"/>
          <w:szCs w:val="32"/>
        </w:rPr>
        <w:t xml:space="preserve">Change 1 — Hero CTA Reorder</w:t>
      </w:r>
    </w:p>
    <w:p>
      <w:pPr>
        <w:pBdr>
          <w:bottom w:val="single" w:color="0D61A7" w:sz="4" w:space="1"/>
        </w:pBdr>
        <w:spacing w:after="0" w:before="0"/>
      </w:pPr>
    </w:p>
    <w:p>
      <w:pPr>
        <w:spacing w:after="70" w:before="0"/>
      </w:pPr>
    </w:p>
    <w:p>
      <w:pPr>
        <w:pStyle w:val="Heading3"/>
        <w:spacing w:after="100" w:before="240"/>
      </w:pPr>
      <w:r>
        <w:rPr>
          <w:rFonts w:ascii="Arial" w:cs="Arial" w:eastAsia="Arial" w:hAnsi="Arial"/>
          <w:b/>
          <w:bCs/>
          <w:color w:val="1A1A1A"/>
          <w:sz w:val="22"/>
          <w:szCs w:val="22"/>
        </w:rPr>
        <w:t xml:space="preserve">What changed</w:t>
      </w:r>
    </w:p>
    <w:p>
      <w:pPr>
        <w:spacing w:after="120" w:before="0"/>
        <w:jc w:val="left"/>
      </w:pPr>
      <w:r>
        <w:rPr>
          <w:rFonts w:ascii="Arial" w:cs="Arial" w:eastAsia="Arial" w:hAnsi="Arial"/>
          <w:b w:val="false"/>
          <w:bCs w:val="false"/>
          <w:i w:val="false"/>
          <w:iCs w:val="false"/>
          <w:color w:val="1A1A1A"/>
          <w:sz w:val="20"/>
          <w:szCs w:val="20"/>
        </w:rPr>
        <w:t xml:space="preserve">The primary and secondary CTAs in the hero section were swapped.</w:t>
      </w:r>
    </w:p>
    <w:p>
      <w:pPr>
        <w:spacing w:after="7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
            </w:r>
          </w:p>
        </w:tc>
        <w:tc>
          <w:tcPr>
            <w:tcW w:type="dxa" w:w="42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Original</w:t>
            </w:r>
          </w:p>
        </w:tc>
        <w:tc>
          <w:tcPr>
            <w:tcW w:type="dxa" w:w="42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Improved</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Primary CTA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Talk to an Expert for Free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Find My System  (filled button)</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Secondary CTA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Find My 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Talk to an Expert — Free  (outlined)</w:t>
            </w:r>
          </w:p>
        </w:tc>
      </w:tr>
    </w:tbl>
    <w:p>
      <w:pPr>
        <w:spacing w:after="70" w:before="0"/>
      </w:pPr>
    </w:p>
    <w:p>
      <w:pPr>
        <w:pStyle w:val="Heading3"/>
        <w:spacing w:after="100" w:before="240"/>
      </w:pPr>
      <w:r>
        <w:rPr>
          <w:rFonts w:ascii="Arial" w:cs="Arial" w:eastAsia="Arial" w:hAnsi="Arial"/>
          <w:b/>
          <w:bCs/>
          <w:color w:val="1A1A1A"/>
          <w:sz w:val="22"/>
          <w:szCs w:val="22"/>
        </w:rPr>
        <w:t xml:space="preserve">Why</w:t>
      </w:r>
    </w:p>
    <w:p>
      <w:pPr>
        <w:spacing w:after="100" w:before="0"/>
        <w:jc w:val="left"/>
      </w:pPr>
      <w:r>
        <w:rPr>
          <w:rFonts w:ascii="Arial" w:cs="Arial" w:eastAsia="Arial" w:hAnsi="Arial"/>
          <w:b w:val="false"/>
          <w:bCs w:val="false"/>
          <w:i w:val="false"/>
          <w:iCs w:val="false"/>
          <w:color w:val="1A1A1A"/>
          <w:sz w:val="20"/>
          <w:szCs w:val="20"/>
        </w:rPr>
        <w:t xml:space="preserve">Sending users to a phone call as the first action is high-friction and low-scale. The guide-first principle means routing undecided users into the self-serve decision funnel first. The expert option remains clearly visible as a secondary path — it is not removed.</w:t>
      </w:r>
    </w:p>
    <w:p>
      <w:pPr>
        <w:pStyle w:val="Heading3"/>
        <w:spacing w:after="100" w:before="240"/>
      </w:pPr>
      <w:r>
        <w:rPr>
          <w:rFonts w:ascii="Arial" w:cs="Arial" w:eastAsia="Arial" w:hAnsi="Arial"/>
          <w:b/>
          <w:bCs/>
          <w:color w:val="1A1A1A"/>
          <w:sz w:val="22"/>
          <w:szCs w:val="22"/>
        </w:rPr>
        <w:t xml:space="preserve">Expected impact</w:t>
      </w:r>
    </w:p>
    <w:p>
      <w:pPr>
        <w:pStyle w:val="ListParagraph"/>
        <w:numPr>
          <w:ilvl w:val="0"/>
          <w:numId w:val="2"/>
        </w:numPr>
        <w:spacing w:after="80" w:before="0"/>
      </w:pPr>
      <w:r>
        <w:rPr>
          <w:rFonts w:ascii="Arial" w:cs="Arial" w:eastAsia="Arial" w:hAnsi="Arial"/>
          <w:color w:val="1A1A1A"/>
          <w:sz w:val="20"/>
          <w:szCs w:val="20"/>
        </w:rPr>
        <w:t xml:space="preserve">Higher tool start rate (users entering System Selector / Sizing Estimator)</w:t>
      </w:r>
    </w:p>
    <w:p>
      <w:pPr>
        <w:pStyle w:val="ListParagraph"/>
        <w:numPr>
          <w:ilvl w:val="0"/>
          <w:numId w:val="2"/>
        </w:numPr>
        <w:spacing w:after="80" w:before="0"/>
      </w:pPr>
      <w:r>
        <w:rPr>
          <w:rFonts w:ascii="Arial" w:cs="Arial" w:eastAsia="Arial" w:hAnsi="Arial"/>
          <w:color w:val="1A1A1A"/>
          <w:sz w:val="20"/>
          <w:szCs w:val="20"/>
        </w:rPr>
        <w:t xml:space="preserve">Lower immediate bounce to phone call</w:t>
      </w:r>
    </w:p>
    <w:p>
      <w:pPr>
        <w:pStyle w:val="ListParagraph"/>
        <w:numPr>
          <w:ilvl w:val="0"/>
          <w:numId w:val="2"/>
        </w:numPr>
        <w:spacing w:after="80" w:before="0"/>
      </w:pPr>
      <w:r>
        <w:rPr>
          <w:rFonts w:ascii="Arial" w:cs="Arial" w:eastAsia="Arial" w:hAnsi="Arial"/>
          <w:color w:val="1A1A1A"/>
          <w:sz w:val="20"/>
          <w:szCs w:val="20"/>
        </w:rPr>
        <w:t xml:space="preserve">Better top-of-funnel attribution for A/B testing</w:t>
      </w:r>
    </w:p>
    <w:p>
      <w:pPr>
        <w:spacing w:after="140" w:before="0"/>
      </w:pPr>
    </w:p>
    <w:p>
      <w:pPr>
        <w:pStyle w:val="Heading1"/>
        <w:spacing w:after="180" w:before="360"/>
      </w:pPr>
      <w:r>
        <w:rPr>
          <w:rFonts w:ascii="Arial" w:cs="Arial" w:eastAsia="Arial" w:hAnsi="Arial"/>
          <w:b/>
          <w:bCs/>
          <w:color w:val="1A4C9C"/>
          <w:sz w:val="32"/>
          <w:szCs w:val="32"/>
        </w:rPr>
        <w:t xml:space="preserve">Change 2 — Trust Bar (New)</w:t>
      </w:r>
    </w:p>
    <w:p>
      <w:pPr>
        <w:pBdr>
          <w:bottom w:val="single" w:color="0D61A7" w:sz="4" w:space="1"/>
        </w:pBdr>
        <w:spacing w:after="0" w:before="0"/>
      </w:pPr>
    </w:p>
    <w:p>
      <w:pPr>
        <w:spacing w:after="70" w:before="0"/>
      </w:pPr>
    </w:p>
    <w:p>
      <w:pPr>
        <w:pStyle w:val="Heading3"/>
        <w:spacing w:after="100" w:before="240"/>
      </w:pPr>
      <w:r>
        <w:rPr>
          <w:rFonts w:ascii="Arial" w:cs="Arial" w:eastAsia="Arial" w:hAnsi="Arial"/>
          <w:b/>
          <w:bCs/>
          <w:color w:val="1A1A1A"/>
          <w:sz w:val="22"/>
          <w:szCs w:val="22"/>
        </w:rPr>
        <w:t xml:space="preserve">What changed</w:t>
      </w:r>
    </w:p>
    <w:p>
      <w:pPr>
        <w:spacing w:after="120" w:before="0"/>
        <w:jc w:val="left"/>
      </w:pPr>
      <w:r>
        <w:rPr>
          <w:rFonts w:ascii="Arial" w:cs="Arial" w:eastAsia="Arial" w:hAnsi="Arial"/>
          <w:b w:val="false"/>
          <w:bCs w:val="false"/>
          <w:i w:val="false"/>
          <w:iCs w:val="false"/>
          <w:color w:val="1A1A1A"/>
          <w:sz w:val="20"/>
          <w:szCs w:val="20"/>
        </w:rPr>
        <w:t xml:space="preserve">A lightweight horizontal bar was added immediately below the hero. It surfaces four trust signals that were previously buried in the 'Why Alpine' section three or more scroll lengths below the fold.</w:t>
      </w:r>
    </w:p>
    <w:p>
      <w:pPr>
        <w:spacing w:after="70" w:before="0"/>
      </w:pPr>
    </w:p>
    <w:p>
      <w:pPr>
        <w:spacing w:after="80" w:before="80"/>
      </w:pPr>
      <w:r>
        <w:rPr>
          <w:rFonts w:ascii="Arial" w:cs="Arial" w:eastAsia="Arial" w:hAnsi="Arial"/>
          <w:b/>
          <w:bCs/>
          <w:sz w:val="20"/>
          <w:szCs w:val="20"/>
        </w:rPr>
        <w:t xml:space="preserve">Trust bar contents:  </w:t>
      </w:r>
      <w:r>
        <w:rPr>
          <w:rFonts w:ascii="Arial" w:cs="Arial" w:eastAsia="Arial" w:hAnsi="Arial"/>
          <w:color w:val="444444"/>
          <w:sz w:val="20"/>
          <w:szCs w:val="20"/>
        </w:rPr>
        <w:t xml:space="preserve">⭐ 4.8 Stars · 12,000+ Reviews   |   ✔ Free Expert Support   |   ✔ Trusted Since 2002   |   📞 1-800-865-5931</w:t>
      </w:r>
    </w:p>
    <w:p>
      <w:pPr>
        <w:spacing w:after="70" w:before="0"/>
      </w:pPr>
    </w:p>
    <w:p>
      <w:pPr>
        <w:pStyle w:val="Heading3"/>
        <w:spacing w:after="100" w:before="240"/>
      </w:pPr>
      <w:r>
        <w:rPr>
          <w:rFonts w:ascii="Arial" w:cs="Arial" w:eastAsia="Arial" w:hAnsi="Arial"/>
          <w:b/>
          <w:bCs/>
          <w:color w:val="1A1A1A"/>
          <w:sz w:val="22"/>
          <w:szCs w:val="22"/>
        </w:rPr>
        <w:t xml:space="preserve">Why</w:t>
      </w:r>
    </w:p>
    <w:p>
      <w:pPr>
        <w:spacing w:after="100" w:before="0"/>
        <w:jc w:val="left"/>
      </w:pPr>
      <w:r>
        <w:rPr>
          <w:rFonts w:ascii="Arial" w:cs="Arial" w:eastAsia="Arial" w:hAnsi="Arial"/>
          <w:b w:val="false"/>
          <w:bCs w:val="false"/>
          <w:i w:val="false"/>
          <w:iCs w:val="false"/>
          <w:color w:val="1A1A1A"/>
          <w:sz w:val="20"/>
          <w:szCs w:val="20"/>
        </w:rPr>
        <w:t xml:space="preserve">Users who arrive from paid search (Google Ads) have low context and high intent. If they can't quickly establish that Alpine is a credible vendor, they bounce. Placing trust signals directly below the hero intercepts that judgment moment before the first scroll.</w:t>
      </w:r>
    </w:p>
    <w:p>
      <w:pPr>
        <w:pStyle w:val="Heading3"/>
        <w:spacing w:after="100" w:before="240"/>
      </w:pPr>
      <w:r>
        <w:rPr>
          <w:rFonts w:ascii="Arial" w:cs="Arial" w:eastAsia="Arial" w:hAnsi="Arial"/>
          <w:b/>
          <w:bCs/>
          <w:color w:val="1A1A1A"/>
          <w:sz w:val="22"/>
          <w:szCs w:val="22"/>
        </w:rPr>
        <w:t xml:space="preserve">Expected impact</w:t>
      </w:r>
    </w:p>
    <w:p>
      <w:pPr>
        <w:pStyle w:val="ListParagraph"/>
        <w:numPr>
          <w:ilvl w:val="0"/>
          <w:numId w:val="2"/>
        </w:numPr>
        <w:spacing w:after="80" w:before="0"/>
      </w:pPr>
      <w:r>
        <w:rPr>
          <w:rFonts w:ascii="Arial" w:cs="Arial" w:eastAsia="Arial" w:hAnsi="Arial"/>
          <w:color w:val="1A1A1A"/>
          <w:sz w:val="20"/>
          <w:szCs w:val="20"/>
        </w:rPr>
        <w:t xml:space="preserve">Lower bounce rate (primary metric)</w:t>
      </w:r>
    </w:p>
    <w:p>
      <w:pPr>
        <w:pStyle w:val="ListParagraph"/>
        <w:numPr>
          <w:ilvl w:val="0"/>
          <w:numId w:val="2"/>
        </w:numPr>
        <w:spacing w:after="80" w:before="0"/>
      </w:pPr>
      <w:r>
        <w:rPr>
          <w:rFonts w:ascii="Arial" w:cs="Arial" w:eastAsia="Arial" w:hAnsi="Arial"/>
          <w:color w:val="1A1A1A"/>
          <w:sz w:val="20"/>
          <w:szCs w:val="20"/>
        </w:rPr>
        <w:t xml:space="preserve">Higher time on site</w:t>
      </w:r>
    </w:p>
    <w:p>
      <w:pPr>
        <w:pStyle w:val="ListParagraph"/>
        <w:numPr>
          <w:ilvl w:val="0"/>
          <w:numId w:val="2"/>
        </w:numPr>
        <w:spacing w:after="80" w:before="0"/>
      </w:pPr>
      <w:r>
        <w:rPr>
          <w:rFonts w:ascii="Arial" w:cs="Arial" w:eastAsia="Arial" w:hAnsi="Arial"/>
          <w:color w:val="1A1A1A"/>
          <w:sz w:val="20"/>
          <w:szCs w:val="20"/>
        </w:rPr>
        <w:t xml:space="preserve">Reduced phone-call volume from users seeking credibility confirmation</w:t>
      </w:r>
    </w:p>
    <w:p>
      <w:pPr>
        <w:pStyle w:val="Heading3"/>
        <w:spacing w:after="100" w:before="240"/>
      </w:pPr>
      <w:r>
        <w:rPr>
          <w:rFonts w:ascii="Arial" w:cs="Arial" w:eastAsia="Arial" w:hAnsi="Arial"/>
          <w:b/>
          <w:bCs/>
          <w:color w:val="1A1A1A"/>
          <w:sz w:val="22"/>
          <w:szCs w:val="22"/>
        </w:rPr>
        <w:t xml:space="preserve">Implementation lift</w:t>
      </w:r>
    </w:p>
    <w:p>
      <w:pPr>
        <w:spacing w:after="120" w:before="0"/>
        <w:jc w:val="left"/>
      </w:pPr>
      <w:r>
        <w:rPr>
          <w:rFonts w:ascii="Arial" w:cs="Arial" w:eastAsia="Arial" w:hAnsi="Arial"/>
          <w:b w:val="false"/>
          <w:bCs w:val="false"/>
          <w:i w:val="false"/>
          <w:iCs w:val="false"/>
          <w:color w:val="1A1A1A"/>
          <w:sz w:val="20"/>
          <w:szCs w:val="20"/>
        </w:rPr>
        <w:t xml:space="preserve">Low — uses existing MUI Stack, Divider, and Typography components. No new styles.</w:t>
      </w:r>
    </w:p>
    <w:p>
      <w:pPr>
        <w:spacing w:after="140" w:before="0"/>
      </w:pPr>
    </w:p>
    <w:p>
      <w:pPr>
        <w:pStyle w:val="Heading1"/>
        <w:spacing w:after="180" w:before="360"/>
      </w:pPr>
      <w:r>
        <w:rPr>
          <w:rFonts w:ascii="Arial" w:cs="Arial" w:eastAsia="Arial" w:hAnsi="Arial"/>
          <w:b/>
          <w:bCs/>
          <w:color w:val="1A4C9C"/>
          <w:sz w:val="32"/>
          <w:szCs w:val="32"/>
        </w:rPr>
        <w:t xml:space="preserve">Change 3 — 'Start Here' Reframe</w:t>
      </w:r>
    </w:p>
    <w:p>
      <w:pPr>
        <w:pBdr>
          <w:bottom w:val="single" w:color="0D61A7" w:sz="4" w:space="1"/>
        </w:pBdr>
        <w:spacing w:after="0" w:before="0"/>
      </w:pPr>
    </w:p>
    <w:p>
      <w:pPr>
        <w:spacing w:after="70" w:before="0"/>
      </w:pPr>
    </w:p>
    <w:p>
      <w:pPr>
        <w:pStyle w:val="Heading3"/>
        <w:spacing w:after="100" w:before="240"/>
      </w:pPr>
      <w:r>
        <w:rPr>
          <w:rFonts w:ascii="Arial" w:cs="Arial" w:eastAsia="Arial" w:hAnsi="Arial"/>
          <w:b/>
          <w:bCs/>
          <w:color w:val="1A1A1A"/>
          <w:sz w:val="22"/>
          <w:szCs w:val="22"/>
        </w:rPr>
        <w:t xml:space="preserve">What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90"/>
        <w:gridCol w:w="3990"/>
      </w:tblGrid>
      <w:tr>
        <w:trPr>
          <w:tblHeader/>
        </w:trPr>
        <w:tc>
          <w:tcPr>
            <w:tcW w:type="dxa" w:w="21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Element</w:t>
            </w:r>
          </w:p>
        </w:tc>
        <w:tc>
          <w:tcPr>
            <w:tcW w:type="dxa" w:w="399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Original</w:t>
            </w:r>
          </w:p>
        </w:tc>
        <w:tc>
          <w:tcPr>
            <w:tcW w:type="dxa" w:w="399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Improved</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Section heading</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Shopping Assistance</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Start Here — Find Your System</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Subtext</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Start with System Selector if you're not sure…</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Not sure? Start with System Selector — it takes 2 minutes.</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System Selector badge</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(none)</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'START HERE' chip in top-right of card</w:t>
            </w:r>
          </w:p>
        </w:tc>
      </w:tr>
    </w:tbl>
    <w:p>
      <w:pPr>
        <w:spacing w:after="70" w:before="0"/>
      </w:pPr>
    </w:p>
    <w:p>
      <w:pPr>
        <w:pStyle w:val="Heading3"/>
        <w:spacing w:after="100" w:before="240"/>
      </w:pPr>
      <w:r>
        <w:rPr>
          <w:rFonts w:ascii="Arial" w:cs="Arial" w:eastAsia="Arial" w:hAnsi="Arial"/>
          <w:b/>
          <w:bCs/>
          <w:color w:val="1A1A1A"/>
          <w:sz w:val="22"/>
          <w:szCs w:val="22"/>
        </w:rPr>
        <w:t xml:space="preserve">Why</w:t>
      </w:r>
    </w:p>
    <w:p>
      <w:pPr>
        <w:spacing w:after="100" w:before="0"/>
        <w:jc w:val="left"/>
      </w:pPr>
      <w:r>
        <w:rPr>
          <w:rFonts w:ascii="Arial" w:cs="Arial" w:eastAsia="Arial" w:hAnsi="Arial"/>
          <w:b w:val="false"/>
          <w:bCs w:val="false"/>
          <w:i w:val="false"/>
          <w:iCs w:val="false"/>
          <w:color w:val="1A1A1A"/>
          <w:sz w:val="20"/>
          <w:szCs w:val="20"/>
        </w:rPr>
        <w:t xml:space="preserve">'Shopping Assistance' is a passive, support-oriented label. It implies optional help rather than a recommended starting point. 'Start Here' is directive — it tells the user what to do, reducing decision paralysis. The 2-minute framing lowers the perceived commitment barrier.</w:t>
      </w:r>
    </w:p>
    <w:p>
      <w:pPr>
        <w:pStyle w:val="Heading3"/>
        <w:spacing w:after="100" w:before="240"/>
      </w:pPr>
      <w:r>
        <w:rPr>
          <w:rFonts w:ascii="Arial" w:cs="Arial" w:eastAsia="Arial" w:hAnsi="Arial"/>
          <w:b/>
          <w:bCs/>
          <w:color w:val="1A1A1A"/>
          <w:sz w:val="22"/>
          <w:szCs w:val="22"/>
        </w:rPr>
        <w:t xml:space="preserve">Expected impact</w:t>
      </w:r>
    </w:p>
    <w:p>
      <w:pPr>
        <w:pStyle w:val="ListParagraph"/>
        <w:numPr>
          <w:ilvl w:val="0"/>
          <w:numId w:val="2"/>
        </w:numPr>
        <w:spacing w:after="80" w:before="0"/>
      </w:pPr>
      <w:r>
        <w:rPr>
          <w:rFonts w:ascii="Arial" w:cs="Arial" w:eastAsia="Arial" w:hAnsi="Arial"/>
          <w:color w:val="1A1A1A"/>
          <w:sz w:val="20"/>
          <w:szCs w:val="20"/>
        </w:rPr>
        <w:t xml:space="preserve">Higher tool engagement rate</w:t>
      </w:r>
    </w:p>
    <w:p>
      <w:pPr>
        <w:pStyle w:val="ListParagraph"/>
        <w:numPr>
          <w:ilvl w:val="0"/>
          <w:numId w:val="2"/>
        </w:numPr>
        <w:spacing w:after="80" w:before="0"/>
      </w:pPr>
      <w:r>
        <w:rPr>
          <w:rFonts w:ascii="Arial" w:cs="Arial" w:eastAsia="Arial" w:hAnsi="Arial"/>
          <w:color w:val="1A1A1A"/>
          <w:sz w:val="20"/>
          <w:szCs w:val="20"/>
        </w:rPr>
        <w:t xml:space="preserve">More users entering the guided System Selector flow</w:t>
      </w:r>
    </w:p>
    <w:p>
      <w:pPr>
        <w:pStyle w:val="ListParagraph"/>
        <w:numPr>
          <w:ilvl w:val="0"/>
          <w:numId w:val="2"/>
        </w:numPr>
        <w:spacing w:after="80" w:before="0"/>
      </w:pPr>
      <w:r>
        <w:rPr>
          <w:rFonts w:ascii="Arial" w:cs="Arial" w:eastAsia="Arial" w:hAnsi="Arial"/>
          <w:color w:val="1A1A1A"/>
          <w:sz w:val="20"/>
          <w:szCs w:val="20"/>
        </w:rPr>
        <w:t xml:space="preserve">Fewer users who scroll past the section without engaging</w:t>
      </w:r>
    </w:p>
    <w:p>
      <w:pPr>
        <w:spacing w:after="140" w:before="0"/>
      </w:pPr>
    </w:p>
    <w:p>
      <w:pPr>
        <w:pStyle w:val="Heading1"/>
        <w:spacing w:after="180" w:before="360"/>
      </w:pPr>
      <w:r>
        <w:rPr>
          <w:rFonts w:ascii="Arial" w:cs="Arial" w:eastAsia="Arial" w:hAnsi="Arial"/>
          <w:b/>
          <w:bCs/>
          <w:color w:val="1A4C9C"/>
          <w:sz w:val="32"/>
          <w:szCs w:val="32"/>
        </w:rPr>
        <w:t xml:space="preserve">Change 4 — Expert Fallback Moved Up</w:t>
      </w:r>
    </w:p>
    <w:p>
      <w:pPr>
        <w:pBdr>
          <w:bottom w:val="single" w:color="0D61A7" w:sz="4" w:space="1"/>
        </w:pBdr>
        <w:spacing w:after="0" w:before="0"/>
      </w:pPr>
    </w:p>
    <w:p>
      <w:pPr>
        <w:spacing w:after="70" w:before="0"/>
      </w:pPr>
    </w:p>
    <w:p>
      <w:pPr>
        <w:pStyle w:val="Heading3"/>
        <w:spacing w:after="100" w:before="240"/>
      </w:pPr>
      <w:r>
        <w:rPr>
          <w:rFonts w:ascii="Arial" w:cs="Arial" w:eastAsia="Arial" w:hAnsi="Arial"/>
          <w:b/>
          <w:bCs/>
          <w:color w:val="1A1A1A"/>
          <w:sz w:val="22"/>
          <w:szCs w:val="22"/>
        </w:rPr>
        <w:t xml:space="preserve">What changed</w:t>
      </w:r>
    </w:p>
    <w:p>
      <w:pPr>
        <w:spacing w:after="120" w:before="0"/>
        <w:jc w:val="left"/>
      </w:pPr>
      <w:r>
        <w:rPr>
          <w:rFonts w:ascii="Arial" w:cs="Arial" w:eastAsia="Arial" w:hAnsi="Arial"/>
          <w:b w:val="false"/>
          <w:bCs w:val="false"/>
          <w:i w:val="false"/>
          <w:iCs w:val="false"/>
          <w:color w:val="1A1A1A"/>
          <w:sz w:val="20"/>
          <w:szCs w:val="20"/>
        </w:rPr>
        <w:t xml:space="preserve">The 'Still Not Sure?' section — previously a standalone section at the very bottom of the page — was removed from the bottom and replaced with a compact two-line callout placed inline, directly below the tools panel.</w:t>
      </w:r>
    </w:p>
    <w:p>
      <w:pPr>
        <w:spacing w:after="7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780"/>
      </w:tblGrid>
      <w:tr>
        <w:trPr>
          <w:tblHeader/>
        </w:trPr>
        <w:tc>
          <w:tcPr>
            <w:tcW w:type="dxa" w:w="21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
            </w:r>
          </w:p>
        </w:tc>
        <w:tc>
          <w:tcPr>
            <w:tcW w:type="dxa" w:w="42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Original</w:t>
            </w:r>
          </w:p>
        </w:tc>
        <w:tc>
          <w:tcPr>
            <w:tcW w:type="dxa" w:w="378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Improved</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Position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Standalone section at page bottom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Inline, directly below tools panel</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Format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Section heading + body copy + button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One-line copy + text button</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Scroll depth required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~80% page scroll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~25% page scroll</w:t>
            </w:r>
          </w:p>
        </w:tc>
      </w:tr>
    </w:tbl>
    <w:p>
      <w:pPr>
        <w:spacing w:after="70" w:before="0"/>
      </w:pPr>
    </w:p>
    <w:p>
      <w:pPr>
        <w:pStyle w:val="Heading3"/>
        <w:spacing w:after="100" w:before="240"/>
      </w:pPr>
      <w:r>
        <w:rPr>
          <w:rFonts w:ascii="Arial" w:cs="Arial" w:eastAsia="Arial" w:hAnsi="Arial"/>
          <w:b/>
          <w:bCs/>
          <w:color w:val="1A1A1A"/>
          <w:sz w:val="22"/>
          <w:szCs w:val="22"/>
        </w:rPr>
        <w:t xml:space="preserve">Why</w:t>
      </w:r>
    </w:p>
    <w:p>
      <w:pPr>
        <w:spacing w:after="100" w:before="0"/>
        <w:jc w:val="left"/>
      </w:pPr>
      <w:r>
        <w:rPr>
          <w:rFonts w:ascii="Arial" w:cs="Arial" w:eastAsia="Arial" w:hAnsi="Arial"/>
          <w:b w:val="false"/>
          <w:bCs w:val="false"/>
          <w:i w:val="false"/>
          <w:iCs w:val="false"/>
          <w:color w:val="1A1A1A"/>
          <w:sz w:val="20"/>
          <w:szCs w:val="20"/>
        </w:rPr>
        <w:t xml:space="preserve">The original placement assumes users who are confused will scroll to the very bottom of the page. Data consistently shows confused users do not scroll — they bounce. Placing the expert CTA immediately after the tools means it acts as a safety net at exactly the moment a user decides the tools aren't for them.</w:t>
      </w:r>
    </w:p>
    <w:p>
      <w:pPr>
        <w:pStyle w:val="Heading3"/>
        <w:spacing w:after="100" w:before="240"/>
      </w:pPr>
      <w:r>
        <w:rPr>
          <w:rFonts w:ascii="Arial" w:cs="Arial" w:eastAsia="Arial" w:hAnsi="Arial"/>
          <w:b/>
          <w:bCs/>
          <w:color w:val="1A1A1A"/>
          <w:sz w:val="22"/>
          <w:szCs w:val="22"/>
        </w:rPr>
        <w:t xml:space="preserve">Expected impact</w:t>
      </w:r>
    </w:p>
    <w:p>
      <w:pPr>
        <w:pStyle w:val="ListParagraph"/>
        <w:numPr>
          <w:ilvl w:val="0"/>
          <w:numId w:val="2"/>
        </w:numPr>
        <w:spacing w:after="80" w:before="0"/>
      </w:pPr>
      <w:r>
        <w:rPr>
          <w:rFonts w:ascii="Arial" w:cs="Arial" w:eastAsia="Arial" w:hAnsi="Arial"/>
          <w:color w:val="1A1A1A"/>
          <w:sz w:val="20"/>
          <w:szCs w:val="20"/>
        </w:rPr>
        <w:t xml:space="preserve">Higher expert consultation conversion rate</w:t>
      </w:r>
    </w:p>
    <w:p>
      <w:pPr>
        <w:pStyle w:val="ListParagraph"/>
        <w:numPr>
          <w:ilvl w:val="0"/>
          <w:numId w:val="2"/>
        </w:numPr>
        <w:spacing w:after="80" w:before="0"/>
      </w:pPr>
      <w:r>
        <w:rPr>
          <w:rFonts w:ascii="Arial" w:cs="Arial" w:eastAsia="Arial" w:hAnsi="Arial"/>
          <w:color w:val="1A1A1A"/>
          <w:sz w:val="20"/>
          <w:szCs w:val="20"/>
        </w:rPr>
        <w:t xml:space="preserve">Reduced drop-off for undecided users</w:t>
      </w:r>
    </w:p>
    <w:p>
      <w:pPr>
        <w:pStyle w:val="ListParagraph"/>
        <w:numPr>
          <w:ilvl w:val="0"/>
          <w:numId w:val="2"/>
        </w:numPr>
        <w:spacing w:after="80" w:before="0"/>
      </w:pPr>
      <w:r>
        <w:rPr>
          <w:rFonts w:ascii="Arial" w:cs="Arial" w:eastAsia="Arial" w:hAnsi="Arial"/>
          <w:color w:val="1A1A1A"/>
          <w:sz w:val="20"/>
          <w:szCs w:val="20"/>
        </w:rPr>
        <w:t xml:space="preserve">No regression for browse-first users (tools section is still present)</w:t>
      </w:r>
    </w:p>
    <w:p>
      <w:pPr>
        <w:spacing w:after="140" w:before="0"/>
      </w:pPr>
    </w:p>
    <w:p>
      <w:pPr>
        <w:pStyle w:val="Heading1"/>
        <w:spacing w:after="180" w:before="360"/>
      </w:pPr>
      <w:r>
        <w:rPr>
          <w:rFonts w:ascii="Arial" w:cs="Arial" w:eastAsia="Arial" w:hAnsi="Arial"/>
          <w:b/>
          <w:bCs/>
          <w:color w:val="1A4C9C"/>
          <w:sz w:val="32"/>
          <w:szCs w:val="32"/>
        </w:rPr>
        <w:t xml:space="preserve">Change 5 — Category Card CTAs</w:t>
      </w:r>
    </w:p>
    <w:p>
      <w:pPr>
        <w:pBdr>
          <w:bottom w:val="single" w:color="0D61A7" w:sz="4" w:space="1"/>
        </w:pBdr>
        <w:spacing w:after="0" w:before="0"/>
      </w:pPr>
    </w:p>
    <w:p>
      <w:pPr>
        <w:spacing w:after="70" w:before="0"/>
      </w:pPr>
    </w:p>
    <w:p>
      <w:pPr>
        <w:pStyle w:val="Heading3"/>
        <w:spacing w:after="100" w:before="240"/>
      </w:pPr>
      <w:r>
        <w:rPr>
          <w:rFonts w:ascii="Arial" w:cs="Arial" w:eastAsia="Arial" w:hAnsi="Arial"/>
          <w:b/>
          <w:bCs/>
          <w:color w:val="1A1A1A"/>
          <w:sz w:val="22"/>
          <w:szCs w:val="22"/>
        </w:rPr>
        <w:t xml:space="preserve">What 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90"/>
        <w:gridCol w:w="3990"/>
      </w:tblGrid>
      <w:tr>
        <w:trPr>
          <w:tblHeader/>
        </w:trPr>
        <w:tc>
          <w:tcPr>
            <w:tcW w:type="dxa" w:w="21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Element</w:t>
            </w:r>
          </w:p>
        </w:tc>
        <w:tc>
          <w:tcPr>
            <w:tcW w:type="dxa" w:w="399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Original</w:t>
            </w:r>
          </w:p>
        </w:tc>
        <w:tc>
          <w:tcPr>
            <w:tcW w:type="dxa" w:w="399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Improved</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Browse link style</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12px plain text ('Browse In Stock Systems →')</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MUI text Button with endIcon, 600 weight</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Card height</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Variable (image-driven)</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Consistent — flex layout fills height</w:t>
            </w:r>
          </w:p>
        </w:tc>
      </w:tr>
      <w:tr>
        <w:trPr>
          <w:tblHeader w:val="false"/>
        </w:trPr>
        <w:tc>
          <w:tcPr>
            <w:tcW w:type="dxa" w:w="210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Tap target size</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~16px line height</w:t>
            </w:r>
          </w:p>
        </w:tc>
        <w:tc>
          <w:tcPr>
            <w:tcW w:type="dxa" w:w="399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Full button component (~32px min height)</w:t>
            </w:r>
          </w:p>
        </w:tc>
      </w:tr>
    </w:tbl>
    <w:p>
      <w:pPr>
        <w:spacing w:after="70" w:before="0"/>
      </w:pPr>
    </w:p>
    <w:p>
      <w:pPr>
        <w:pStyle w:val="Heading3"/>
        <w:spacing w:after="100" w:before="240"/>
      </w:pPr>
      <w:r>
        <w:rPr>
          <w:rFonts w:ascii="Arial" w:cs="Arial" w:eastAsia="Arial" w:hAnsi="Arial"/>
          <w:b/>
          <w:bCs/>
          <w:color w:val="1A1A1A"/>
          <w:sz w:val="22"/>
          <w:szCs w:val="22"/>
        </w:rPr>
        <w:t xml:space="preserve">Why</w:t>
      </w:r>
    </w:p>
    <w:p>
      <w:pPr>
        <w:spacing w:after="100" w:before="0"/>
        <w:jc w:val="left"/>
      </w:pPr>
      <w:r>
        <w:rPr>
          <w:rFonts w:ascii="Arial" w:cs="Arial" w:eastAsia="Arial" w:hAnsi="Arial"/>
          <w:b w:val="false"/>
          <w:bCs w:val="false"/>
          <w:i w:val="false"/>
          <w:iCs w:val="false"/>
          <w:color w:val="1A1A1A"/>
          <w:sz w:val="20"/>
          <w:szCs w:val="20"/>
        </w:rPr>
        <w:t xml:space="preserve">The original 'browse' link is 12px plain text — extremely low contrast on mobile, and a very small tap target (accessibility concern). A proper MUI text button communicates affordance, is easier to tap on mobile, and has a higher perceived clickability. Consistent card heights make the grid easier to scan.</w:t>
      </w:r>
    </w:p>
    <w:p>
      <w:pPr>
        <w:pStyle w:val="Heading3"/>
        <w:spacing w:after="100" w:before="240"/>
      </w:pPr>
      <w:r>
        <w:rPr>
          <w:rFonts w:ascii="Arial" w:cs="Arial" w:eastAsia="Arial" w:hAnsi="Arial"/>
          <w:b/>
          <w:bCs/>
          <w:color w:val="1A1A1A"/>
          <w:sz w:val="22"/>
          <w:szCs w:val="22"/>
        </w:rPr>
        <w:t xml:space="preserve">Expected impact</w:t>
      </w:r>
    </w:p>
    <w:p>
      <w:pPr>
        <w:pStyle w:val="ListParagraph"/>
        <w:numPr>
          <w:ilvl w:val="0"/>
          <w:numId w:val="2"/>
        </w:numPr>
        <w:spacing w:after="80" w:before="0"/>
      </w:pPr>
      <w:r>
        <w:rPr>
          <w:rFonts w:ascii="Arial" w:cs="Arial" w:eastAsia="Arial" w:hAnsi="Arial"/>
          <w:color w:val="1A1A1A"/>
          <w:sz w:val="20"/>
          <w:szCs w:val="20"/>
        </w:rPr>
        <w:t xml:space="preserve">Higher category CTR, especially on mobile</w:t>
      </w:r>
    </w:p>
    <w:p>
      <w:pPr>
        <w:pStyle w:val="ListParagraph"/>
        <w:numPr>
          <w:ilvl w:val="0"/>
          <w:numId w:val="2"/>
        </w:numPr>
        <w:spacing w:after="80" w:before="0"/>
      </w:pPr>
      <w:r>
        <w:rPr>
          <w:rFonts w:ascii="Arial" w:cs="Arial" w:eastAsia="Arial" w:hAnsi="Arial"/>
          <w:color w:val="1A1A1A"/>
          <w:sz w:val="20"/>
          <w:szCs w:val="20"/>
        </w:rPr>
        <w:t xml:space="preserve">Better accessibility (WCAG 2.1 AA minimum touch target 44×44px)</w:t>
      </w:r>
    </w:p>
    <w:p>
      <w:pPr>
        <w:pStyle w:val="ListParagraph"/>
        <w:numPr>
          <w:ilvl w:val="0"/>
          <w:numId w:val="2"/>
        </w:numPr>
        <w:spacing w:after="80" w:before="0"/>
      </w:pPr>
      <w:r>
        <w:rPr>
          <w:rFonts w:ascii="Arial" w:cs="Arial" w:eastAsia="Arial" w:hAnsi="Arial"/>
          <w:color w:val="1A1A1A"/>
          <w:sz w:val="20"/>
          <w:szCs w:val="20"/>
        </w:rPr>
        <w:t xml:space="preserve">Improved grid scannability</w:t>
      </w:r>
    </w:p>
    <w:p>
      <w:pPr>
        <w:spacing w:after="140" w:before="0"/>
      </w:pPr>
    </w:p>
    <w:p>
      <w:pPr>
        <w:pStyle w:val="Heading1"/>
        <w:spacing w:after="180" w:before="360"/>
      </w:pPr>
      <w:r>
        <w:rPr>
          <w:rFonts w:ascii="Arial" w:cs="Arial" w:eastAsia="Arial" w:hAnsi="Arial"/>
          <w:b/>
          <w:bCs/>
          <w:color w:val="1A4C9C"/>
          <w:sz w:val="32"/>
          <w:szCs w:val="32"/>
        </w:rPr>
        <w:t xml:space="preserve">A/B Testing Plan</w:t>
      </w:r>
    </w:p>
    <w:p>
      <w:pPr>
        <w:pBdr>
          <w:bottom w:val="single" w:color="0D61A7" w:sz="4" w:space="1"/>
        </w:pBdr>
        <w:spacing w:after="0" w:before="0"/>
      </w:pPr>
    </w:p>
    <w:p>
      <w:pPr>
        <w:spacing w:after="70" w:before="0"/>
      </w:pPr>
    </w:p>
    <w:p>
      <w:pPr>
        <w:spacing w:after="120" w:before="0"/>
        <w:jc w:val="left"/>
      </w:pPr>
      <w:r>
        <w:rPr>
          <w:rFonts w:ascii="Arial" w:cs="Arial" w:eastAsia="Arial" w:hAnsi="Arial"/>
          <w:b w:val="false"/>
          <w:bCs w:val="false"/>
          <w:i w:val="false"/>
          <w:iCs w:val="false"/>
          <w:color w:val="1A1A1A"/>
          <w:sz w:val="20"/>
          <w:szCs w:val="20"/>
        </w:rPr>
        <w:t xml:space="preserve">Each change is independently testable. Recommended test order (by expected impact):</w:t>
      </w:r>
    </w:p>
    <w:p>
      <w:pPr>
        <w:spacing w:after="7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520"/>
        <w:gridCol w:w="2520"/>
        <w:gridCol w:w="2940"/>
      </w:tblGrid>
      <w:tr>
        <w:trPr>
          <w:tblHeader/>
        </w:trPr>
        <w:tc>
          <w:tcPr>
            <w:tcW w:type="dxa" w:w="210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7"/>
                <w:szCs w:val="17"/>
              </w:rPr>
              <w:t xml:space="preserve">Test</w:t>
            </w:r>
          </w:p>
        </w:tc>
        <w:tc>
          <w:tcPr>
            <w:tcW w:type="dxa" w:w="252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7"/>
                <w:szCs w:val="17"/>
              </w:rPr>
              <w:t xml:space="preserve">Control (A)</w:t>
            </w:r>
          </w:p>
        </w:tc>
        <w:tc>
          <w:tcPr>
            <w:tcW w:type="dxa" w:w="252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7"/>
                <w:szCs w:val="17"/>
              </w:rPr>
              <w:t xml:space="preserve">Variant (B)</w:t>
            </w:r>
          </w:p>
        </w:tc>
        <w:tc>
          <w:tcPr>
            <w:tcW w:type="dxa" w:w="294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7"/>
                <w:szCs w:val="17"/>
              </w:rPr>
              <w:t xml:space="preserve">Primary Metric</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Hero CTAs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'Talk to Expert' primary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'Find My System' primary</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Tool start rate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Trust Bar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Hidden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Visible below hero</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Bounce rate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Section label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'Shopping Assistance'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'Start Here'</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Tool click rate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Expert CTA position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Bottom of page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Inline with tools</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Expert consult rate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Browse CTA style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Plain text link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MUI text button</w:t>
            </w:r>
          </w:p>
        </w:tc>
        <w:tc>
          <w:tcPr>
            <w:tcW w:type="dxa" w:w="29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8"/>
                <w:szCs w:val="18"/>
              </w:rPr>
              <w:t xml:space="preserve">Category CTR</w:t>
            </w:r>
          </w:p>
        </w:tc>
      </w:tr>
    </w:tbl>
    <w:p>
      <w:pPr>
        <w:spacing w:after="140" w:before="0"/>
      </w:pPr>
    </w:p>
    <w:p>
      <w:pPr>
        <w:spacing w:after="120" w:before="0"/>
        <w:jc w:val="left"/>
      </w:pPr>
      <w:r>
        <w:rPr>
          <w:rFonts w:ascii="Arial" w:cs="Arial" w:eastAsia="Arial" w:hAnsi="Arial"/>
          <w:b w:val="false"/>
          <w:bCs w:val="false"/>
          <w:i w:val="false"/>
          <w:iCs w:val="false"/>
          <w:color w:val="444444"/>
          <w:sz w:val="20"/>
          <w:szCs w:val="20"/>
        </w:rPr>
        <w:t xml:space="preserve">Run each test for a minimum of 2 weeks or 1,000 sessions per variant, whichever comes first. Prioritise mobile traffic segments for Tests 3 and 5.</w:t>
      </w:r>
    </w:p>
    <w:p>
      <w:pPr>
        <w:spacing w:after="140" w:before="0"/>
      </w:pPr>
    </w:p>
    <w:p>
      <w:pPr>
        <w:pStyle w:val="Heading1"/>
        <w:spacing w:after="180" w:before="360"/>
      </w:pPr>
      <w:r>
        <w:rPr>
          <w:rFonts w:ascii="Arial" w:cs="Arial" w:eastAsia="Arial" w:hAnsi="Arial"/>
          <w:b/>
          <w:bCs/>
          <w:color w:val="1A4C9C"/>
          <w:sz w:val="32"/>
          <w:szCs w:val="32"/>
        </w:rPr>
        <w:t xml:space="preserve">Iteration Log</w:t>
      </w:r>
    </w:p>
    <w:p>
      <w:pPr>
        <w:pBdr>
          <w:bottom w:val="single" w:color="0D61A7" w:sz="4" w:space="1"/>
        </w:pBdr>
        <w:spacing w:after="0" w:before="0"/>
      </w:pPr>
    </w:p>
    <w:p>
      <w:pPr>
        <w:spacing w:after="70" w:before="0"/>
      </w:pPr>
    </w:p>
    <w:p>
      <w:pPr>
        <w:spacing w:after="120" w:before="0"/>
        <w:jc w:val="left"/>
      </w:pPr>
      <w:r>
        <w:rPr>
          <w:rFonts w:ascii="Arial" w:cs="Arial" w:eastAsia="Arial" w:hAnsi="Arial"/>
          <w:b w:val="false"/>
          <w:bCs w:val="false"/>
          <w:i w:val="false"/>
          <w:iCs w:val="false"/>
          <w:color w:val="444444"/>
          <w:sz w:val="20"/>
          <w:szCs w:val="20"/>
        </w:rPr>
        <w:t xml:space="preserve">Post-review feedback applied during working session. Both changes were made to the HTML preview and the MUI React component simultaneously.</w:t>
      </w:r>
    </w:p>
    <w:p>
      <w:pPr>
        <w:spacing w:after="70" w:before="0"/>
      </w:pPr>
    </w:p>
    <w:p>
      <w:pPr>
        <w:spacing w:after="100" w:before="200"/>
      </w:pPr>
      <w:r>
        <w:rPr>
          <w:rFonts w:ascii="Arial" w:cs="Arial" w:eastAsia="Arial" w:hAnsi="Arial"/>
          <w:b/>
          <w:bCs/>
          <w:color w:val="FFFFFF"/>
          <w:sz w:val="17"/>
          <w:szCs w:val="17"/>
          <w:shd w:fill="1A4C9C" w:val="clear"/>
        </w:rPr>
        <w:t xml:space="preserve">  IT-01  </w:t>
      </w:r>
      <w:r>
        <w:rPr>
          <w:rFonts w:ascii="Arial" w:cs="Arial" w:eastAsia="Arial" w:hAnsi="Arial"/>
          <w:b/>
          <w:bCs/>
          <w:color w:val="1A4C9C"/>
          <w:sz w:val="24"/>
          <w:szCs w:val="24"/>
        </w:rPr>
        <w:t xml:space="preserve">   Trust Bar — Center Aligned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Field</w:t>
            </w:r>
          </w:p>
        </w:tc>
        <w:tc>
          <w:tcPr>
            <w:tcW w:type="dxa" w:w="756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Detail</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User feedback: items appeared left-aligned, misbalanced on wide screens</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Files changed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hvac-landing-preview.html  ·  hvac-landing-page.jsx</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HTML change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.trust-bar__items → added justify-content: center</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JSX change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TrustBar Stack → added justifyContent="center", removed xs/sm conditional</w:t>
            </w:r>
          </w:p>
        </w:tc>
      </w:tr>
      <w:tr>
        <w:trPr>
          <w:tblHeader w:val="false"/>
        </w:trPr>
        <w:tc>
          <w:tcPr>
            <w:tcW w:type="dxa" w:w="252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Scope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Cosmetic / layout only — no structural or content changes</w:t>
            </w:r>
          </w:p>
        </w:tc>
      </w:tr>
    </w:tbl>
    <w:p>
      <w:pPr>
        <w:spacing w:after="140" w:before="0"/>
      </w:pPr>
    </w:p>
    <w:p>
      <w:pPr>
        <w:spacing w:after="100" w:before="200"/>
      </w:pPr>
      <w:r>
        <w:rPr>
          <w:rFonts w:ascii="Arial" w:cs="Arial" w:eastAsia="Arial" w:hAnsi="Arial"/>
          <w:b/>
          <w:bCs/>
          <w:color w:val="FFFFFF"/>
          <w:sz w:val="17"/>
          <w:szCs w:val="17"/>
          <w:shd w:fill="1A4C9C" w:val="clear"/>
        </w:rPr>
        <w:t xml:space="preserve">  IT-02  </w:t>
      </w:r>
      <w:r>
        <w:rPr>
          <w:rFonts w:ascii="Arial" w:cs="Arial" w:eastAsia="Arial" w:hAnsi="Arial"/>
          <w:b/>
          <w:bCs/>
          <w:color w:val="1A4C9C"/>
          <w:sz w:val="24"/>
          <w:szCs w:val="24"/>
        </w:rPr>
        <w:t xml:space="preserve">   Category Grid — All 9 Categories</w:t>
      </w:r>
    </w:p>
    <w:p>
      <w:pPr>
        <w:spacing w:after="120" w:before="0"/>
        <w:jc w:val="left"/>
      </w:pPr>
      <w:r>
        <w:rPr>
          <w:rFonts w:ascii="Arial" w:cs="Arial" w:eastAsia="Arial" w:hAnsi="Arial"/>
          <w:b w:val="false"/>
          <w:bCs w:val="false"/>
          <w:i w:val="false"/>
          <w:iCs w:val="false"/>
          <w:color w:val="1A1A1A"/>
          <w:sz w:val="20"/>
          <w:szCs w:val="20"/>
        </w:rPr>
        <w:t xml:space="preserve">Initial implementation had 6 categories. User flagged that the Figma design contains 9. Three were added and one was replaced to match the source design exactly.</w:t>
      </w:r>
    </w:p>
    <w:p>
      <w:pPr>
        <w:spacing w:after="7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960"/>
        <w:gridCol w:w="4440"/>
      </w:tblGrid>
      <w:tr>
        <w:trPr>
          <w:tblHeader/>
        </w:trPr>
        <w:tc>
          <w:tcPr>
            <w:tcW w:type="dxa" w:w="168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Action</w:t>
            </w:r>
          </w:p>
        </w:tc>
        <w:tc>
          <w:tcPr>
            <w:tcW w:type="dxa" w:w="396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Category</w:t>
            </w:r>
          </w:p>
        </w:tc>
        <w:tc>
          <w:tcPr>
            <w:tcW w:type="dxa" w:w="4440"/>
            <w:tcBorders>
              <w:top w:val="single" w:color="CCCCCC" w:sz="1"/>
              <w:left w:val="single" w:color="CCCCCC" w:sz="1"/>
              <w:bottom w:val="single" w:color="CCCCCC" w:sz="1"/>
              <w:right w:val="single" w:color="CCCCCC" w:sz="1"/>
            </w:tcBorders>
            <w:shd w:fill="EAF3FB" w:val="clear"/>
            <w:tcMar>
              <w:top w:type="dxa" w:w="80"/>
              <w:left w:type="dxa" w:w="160"/>
              <w:bottom w:type="dxa" w:w="80"/>
              <w:right w:type="dxa" w:w="160"/>
            </w:tcMar>
          </w:tcPr>
          <w:p>
            <w:pPr>
              <w:spacing w:after="0" w:before="0"/>
            </w:pPr>
            <w:r>
              <w:rPr>
                <w:rFonts w:ascii="Arial" w:cs="Arial" w:eastAsia="Arial" w:hAnsi="Arial"/>
                <w:b/>
                <w:bCs/>
                <w:color w:val="1A4C9C"/>
                <w:sz w:val="18"/>
                <w:szCs w:val="18"/>
              </w:rPr>
              <w:t xml:space="preserve">Notes</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Kept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Ductless Mini-Splits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Chip: Easy Installation</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Kept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Next Gen Ducted Systems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Chip: Energy Efficient</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Kept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Central Air Systems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Chip: Standard Home Setup</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Kept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Complete HVAC Systems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 chip</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Kept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PTAC Units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 chip</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Added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Packaged Units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 chip — was missing from v1</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Added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Wall-Mounted Units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 chip — was missing from v1</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Added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Installation Supplies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 chip · CTA: Browse Supplies &amp; Components</w:t>
            </w:r>
          </w:p>
        </w:tc>
      </w:tr>
      <w:tr>
        <w:trPr>
          <w:tblHeader w:val="false"/>
        </w:trPr>
        <w:tc>
          <w:tcPr>
            <w:tcW w:type="dxa" w:w="1680"/>
            <w:tcBorders>
              <w:top w:val="single" w:color="CCCCCC" w:sz="1"/>
              <w:left w:val="single" w:color="CCCCCC" w:sz="1"/>
              <w:bottom w:val="single" w:color="CCCCCC" w:sz="1"/>
              <w:right w:val="single" w:color="CCCCCC" w:sz="1"/>
            </w:tcBorders>
            <w:shd w:fill="F0F6FC" w:val="clear"/>
            <w:tcMar>
              <w:top w:type="dxa" w:w="80"/>
              <w:left w:type="dxa" w:w="160"/>
              <w:bottom w:type="dxa" w:w="80"/>
              <w:right w:type="dxa" w:w="160"/>
            </w:tcMar>
          </w:tcPr>
          <w:p>
            <w:pPr>
              <w:spacing w:after="0" w:before="0"/>
            </w:pPr>
            <w:r>
              <w:rPr>
                <w:rFonts w:ascii="Arial" w:cs="Arial" w:eastAsia="Arial" w:hAnsi="Arial"/>
                <w:b/>
                <w:bCs/>
                <w:color w:val="1A1A1A"/>
                <w:sz w:val="19"/>
                <w:szCs w:val="19"/>
              </w:rPr>
              <w:t xml:space="preserve">Added / replaced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Scratch &amp; Dent Deals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19"/>
                <w:szCs w:val="19"/>
              </w:rPr>
              <w:t xml:space="preserve">No chip · CTA: View Deals — replaced 'Window &amp; Wall Units'</w:t>
            </w:r>
          </w:p>
        </w:tc>
      </w:tr>
    </w:tbl>
    <w:p>
      <w:pPr>
        <w:spacing w:after="70" w:before="0"/>
      </w:pPr>
    </w:p>
    <w:p>
      <w:pPr>
        <w:pStyle w:val="Heading3"/>
        <w:spacing w:after="100" w:before="240"/>
      </w:pPr>
      <w:r>
        <w:rPr>
          <w:rFonts w:ascii="Arial" w:cs="Arial" w:eastAsia="Arial" w:hAnsi="Arial"/>
          <w:b/>
          <w:bCs/>
          <w:color w:val="1A1A1A"/>
          <w:sz w:val="22"/>
          <w:szCs w:val="22"/>
        </w:rPr>
        <w:t xml:space="preserve">Additional fixes in this iteration</w:t>
      </w:r>
    </w:p>
    <w:p>
      <w:pPr>
        <w:pStyle w:val="ListParagraph"/>
        <w:numPr>
          <w:ilvl w:val="0"/>
          <w:numId w:val="2"/>
        </w:numPr>
        <w:spacing w:after="80" w:before="0"/>
      </w:pPr>
      <w:r>
        <w:rPr>
          <w:rFonts w:ascii="Arial" w:cs="Arial" w:eastAsia="Arial" w:hAnsi="Arial"/>
          <w:color w:val="1A1A1A"/>
          <w:sz w:val="20"/>
          <w:szCs w:val="20"/>
        </w:rPr>
        <w:t xml:space="preserve">Category descriptions updated to match Figma copy exactly (was paraphrased in v1)</w:t>
      </w:r>
    </w:p>
    <w:p>
      <w:pPr>
        <w:pStyle w:val="ListParagraph"/>
        <w:numPr>
          <w:ilvl w:val="0"/>
          <w:numId w:val="2"/>
        </w:numPr>
        <w:spacing w:after="80" w:before="0"/>
      </w:pPr>
      <w:r>
        <w:rPr>
          <w:rFonts w:ascii="Arial" w:cs="Arial" w:eastAsia="Arial" w:hAnsi="Arial"/>
          <w:color w:val="1A1A1A"/>
          <w:sz w:val="20"/>
          <w:szCs w:val="20"/>
        </w:rPr>
        <w:t xml:space="preserve">Browse CTA labels made per-category: 'Browse In Stock Systems' / 'Browse Supplies &amp; Components' / 'View Deals'</w:t>
      </w:r>
    </w:p>
    <w:p>
      <w:pPr>
        <w:pStyle w:val="ListParagraph"/>
        <w:numPr>
          <w:ilvl w:val="0"/>
          <w:numId w:val="2"/>
        </w:numPr>
        <w:spacing w:after="80" w:before="0"/>
      </w:pPr>
      <w:r>
        <w:rPr>
          <w:rFonts w:ascii="Arial" w:cs="Arial" w:eastAsia="Arial" w:hAnsi="Arial"/>
          <w:color w:val="1A1A1A"/>
          <w:sz w:val="20"/>
          <w:szCs w:val="20"/>
        </w:rPr>
        <w:t xml:space="preserve">Chip badges made conditional — only rendered when present (first 3 categories only)</w:t>
      </w:r>
    </w:p>
    <w:p>
      <w:pPr>
        <w:pStyle w:val="ListParagraph"/>
        <w:numPr>
          <w:ilvl w:val="0"/>
          <w:numId w:val="2"/>
        </w:numPr>
        <w:spacing w:after="80" w:before="0"/>
      </w:pPr>
      <w:r>
        <w:rPr>
          <w:rFonts w:ascii="Arial" w:cs="Arial" w:eastAsia="Arial" w:hAnsi="Arial"/>
          <w:color w:val="1A1A1A"/>
          <w:sz w:val="20"/>
          <w:szCs w:val="20"/>
        </w:rPr>
        <w:t xml:space="preserve">CategoryCard component updated to accept browseLabel prop instead of hardcoded string</w:t>
      </w:r>
    </w:p>
    <w:p>
      <w:pPr>
        <w:spacing w:after="140" w:before="0"/>
      </w:pPr>
    </w:p>
    <w:p>
      <w:pPr>
        <w:pStyle w:val="Heading1"/>
        <w:spacing w:after="180" w:before="360"/>
      </w:pPr>
      <w:r>
        <w:rPr>
          <w:rFonts w:ascii="Arial" w:cs="Arial" w:eastAsia="Arial" w:hAnsi="Arial"/>
          <w:b/>
          <w:bCs/>
          <w:color w:val="1A4C9C"/>
          <w:sz w:val="32"/>
          <w:szCs w:val="32"/>
        </w:rPr>
        <w:t xml:space="preserve">Deliverables</w:t>
      </w:r>
    </w:p>
    <w:p>
      <w:pPr>
        <w:pBdr>
          <w:bottom w:val="single" w:color="0D61A7" w:sz="4" w:space="1"/>
        </w:pBdr>
        <w:spacing w:after="0" w:before="0"/>
      </w:pPr>
    </w:p>
    <w:p>
      <w:pPr>
        <w:spacing w:after="70" w:before="0"/>
      </w:pPr>
    </w:p>
    <w:p>
      <w:pPr>
        <w:pStyle w:val="ListParagraph"/>
        <w:numPr>
          <w:ilvl w:val="0"/>
          <w:numId w:val="2"/>
        </w:numPr>
        <w:spacing w:after="80" w:before="0"/>
      </w:pPr>
      <w:r>
        <w:rPr>
          <w:rFonts w:ascii="Arial" w:cs="Arial" w:eastAsia="Arial" w:hAnsi="Arial"/>
          <w:color w:val="1A1A1A"/>
          <w:sz w:val="20"/>
          <w:szCs w:val="20"/>
        </w:rPr>
        <w:t xml:space="preserve">hvac-landing-page.jsx — Full MUI React component (updated)</w:t>
      </w:r>
    </w:p>
    <w:p>
      <w:pPr>
        <w:pStyle w:val="ListParagraph"/>
        <w:numPr>
          <w:ilvl w:val="0"/>
          <w:numId w:val="2"/>
        </w:numPr>
        <w:spacing w:after="80" w:before="0"/>
      </w:pPr>
      <w:r>
        <w:rPr>
          <w:rFonts w:ascii="Arial" w:cs="Arial" w:eastAsia="Arial" w:hAnsi="Arial"/>
          <w:color w:val="1A1A1A"/>
          <w:sz w:val="20"/>
          <w:szCs w:val="20"/>
        </w:rPr>
        <w:t xml:space="preserve">hvac-landing-preview.html — Self-contained HTML live preview (updated)</w:t>
      </w:r>
    </w:p>
    <w:p>
      <w:pPr>
        <w:pStyle w:val="ListParagraph"/>
        <w:numPr>
          <w:ilvl w:val="0"/>
          <w:numId w:val="2"/>
        </w:numPr>
        <w:spacing w:after="80" w:before="0"/>
      </w:pPr>
      <w:r>
        <w:rPr>
          <w:rFonts w:ascii="Arial" w:cs="Arial" w:eastAsia="Arial" w:hAnsi="Arial"/>
          <w:color w:val="1A1A1A"/>
          <w:sz w:val="20"/>
          <w:szCs w:val="20"/>
        </w:rPr>
        <w:t xml:space="preserve">hvac-landing-ux-annotations.md — Change log with rationale</w:t>
      </w:r>
    </w:p>
    <w:p>
      <w:pPr>
        <w:pStyle w:val="ListParagraph"/>
        <w:numPr>
          <w:ilvl w:val="0"/>
          <w:numId w:val="2"/>
        </w:numPr>
        <w:spacing w:after="80" w:before="0"/>
      </w:pPr>
      <w:r>
        <w:rPr>
          <w:rFonts w:ascii="Arial" w:cs="Arial" w:eastAsia="Arial" w:hAnsi="Arial"/>
          <w:color w:val="1A1A1A"/>
          <w:sz w:val="20"/>
          <w:szCs w:val="20"/>
        </w:rPr>
        <w:t xml:space="preserve">hvac-landing-summary.docx — This document (v2 — includes iteration log)</w:t>
      </w:r>
    </w:p>
    <w:p>
      <w:pPr>
        <w:spacing w:after="140" w:before="0"/>
      </w:pPr>
    </w:p>
    <w:p>
      <w:pPr>
        <w:pStyle w:val="Heading2"/>
        <w:spacing w:after="140" w:before="300"/>
      </w:pPr>
      <w:r>
        <w:rPr>
          <w:rFonts w:ascii="Arial" w:cs="Arial" w:eastAsia="Arial" w:hAnsi="Arial"/>
          <w:b/>
          <w:bCs/>
          <w:color w:val="0D61A7"/>
          <w:sz w:val="26"/>
          <w:szCs w:val="26"/>
        </w:rPr>
        <w:t xml:space="preserve">MUI Components Used</w:t>
      </w:r>
    </w:p>
    <w:p>
      <w:pPr>
        <w:spacing w:after="120" w:before="0"/>
        <w:jc w:val="left"/>
      </w:pPr>
      <w:r>
        <w:rPr>
          <w:rFonts w:ascii="Arial" w:cs="Arial" w:eastAsia="Arial" w:hAnsi="Arial"/>
          <w:b w:val="false"/>
          <w:bCs w:val="false"/>
          <w:i w:val="false"/>
          <w:iCs w:val="false"/>
          <w:color w:val="1A1A1A"/>
          <w:sz w:val="20"/>
          <w:szCs w:val="20"/>
        </w:rPr>
        <w:t xml:space="preserve">Box, Button, Card, CardContent, Chip, Container, Divider, Grid, Paper, Stack, Typography</w:t>
      </w:r>
    </w:p>
    <w:p>
      <w:pPr>
        <w:spacing w:after="120" w:before="0"/>
        <w:jc w:val="left"/>
      </w:pPr>
      <w:r>
        <w:rPr>
          <w:rFonts w:ascii="Arial" w:cs="Arial" w:eastAsia="Arial" w:hAnsi="Arial"/>
          <w:b w:val="false"/>
          <w:bCs w:val="false"/>
          <w:i w:val="false"/>
          <w:iCs w:val="false"/>
          <w:color w:val="444444"/>
          <w:sz w:val="20"/>
          <w:szCs w:val="20"/>
        </w:rPr>
        <w:t xml:space="preserve">No new component types introduced. All patterns match the existing Alpine design system.</w:t>
      </w:r>
    </w:p>
    <w:p>
      <w:pPr>
        <w:spacing w:after="140" w:before="0"/>
      </w:pPr>
    </w:p>
    <w:p>
      <w:pPr>
        <w:pStyle w:val="Heading2"/>
        <w:spacing w:after="140" w:before="300"/>
      </w:pPr>
      <w:r>
        <w:rPr>
          <w:rFonts w:ascii="Arial" w:cs="Arial" w:eastAsia="Arial" w:hAnsi="Arial"/>
          <w:b/>
          <w:bCs/>
          <w:color w:val="0D61A7"/>
          <w:sz w:val="26"/>
          <w:szCs w:val="26"/>
        </w:rPr>
        <w:t xml:space="preserve">Constraints Respected</w:t>
      </w:r>
    </w:p>
    <w:p>
      <w:pPr>
        <w:pStyle w:val="ListParagraph"/>
        <w:numPr>
          <w:ilvl w:val="0"/>
          <w:numId w:val="2"/>
        </w:numPr>
        <w:spacing w:after="80" w:before="0"/>
      </w:pPr>
      <w:r>
        <w:rPr>
          <w:rFonts w:ascii="Arial" w:cs="Arial" w:eastAsia="Arial" w:hAnsi="Arial"/>
          <w:color w:val="1A1A1A"/>
          <w:sz w:val="20"/>
          <w:szCs w:val="20"/>
        </w:rPr>
        <w:t xml:space="preserve">No UI components redesigned</w:t>
      </w:r>
    </w:p>
    <w:p>
      <w:pPr>
        <w:pStyle w:val="ListParagraph"/>
        <w:numPr>
          <w:ilvl w:val="0"/>
          <w:numId w:val="2"/>
        </w:numPr>
        <w:spacing w:after="80" w:before="0"/>
      </w:pPr>
      <w:r>
        <w:rPr>
          <w:rFonts w:ascii="Arial" w:cs="Arial" w:eastAsia="Arial" w:hAnsi="Arial"/>
          <w:color w:val="1A1A1A"/>
          <w:sz w:val="20"/>
          <w:szCs w:val="20"/>
        </w:rPr>
        <w:t xml:space="preserve">No new visual styles introduced</w:t>
      </w:r>
    </w:p>
    <w:p>
      <w:pPr>
        <w:pStyle w:val="ListParagraph"/>
        <w:numPr>
          <w:ilvl w:val="0"/>
          <w:numId w:val="2"/>
        </w:numPr>
        <w:spacing w:after="80" w:before="0"/>
      </w:pPr>
      <w:r>
        <w:rPr>
          <w:rFonts w:ascii="Arial" w:cs="Arial" w:eastAsia="Arial" w:hAnsi="Arial"/>
          <w:color w:val="1A1A1A"/>
          <w:sz w:val="20"/>
          <w:szCs w:val="20"/>
        </w:rPr>
        <w:t xml:space="preserve">No changes to typography, colours, or spacing system</w:t>
      </w:r>
    </w:p>
    <w:p>
      <w:pPr>
        <w:pStyle w:val="ListParagraph"/>
        <w:numPr>
          <w:ilvl w:val="0"/>
          <w:numId w:val="2"/>
        </w:numPr>
        <w:spacing w:after="80" w:before="0"/>
      </w:pPr>
      <w:r>
        <w:rPr>
          <w:rFonts w:ascii="Arial" w:cs="Arial" w:eastAsia="Arial" w:hAnsi="Arial"/>
          <w:color w:val="1A1A1A"/>
          <w:sz w:val="20"/>
          <w:szCs w:val="20"/>
        </w:rPr>
        <w:t xml:space="preserve">All changes reuse existing MUI patterns</w:t>
      </w:r>
    </w:p>
    <w:p>
      <w:pPr>
        <w:pStyle w:val="ListParagraph"/>
        <w:numPr>
          <w:ilvl w:val="0"/>
          <w:numId w:val="2"/>
        </w:numPr>
        <w:spacing w:after="80" w:before="0"/>
      </w:pPr>
      <w:r>
        <w:rPr>
          <w:rFonts w:ascii="Arial" w:cs="Arial" w:eastAsia="Arial" w:hAnsi="Arial"/>
          <w:color w:val="1A1A1A"/>
          <w:sz w:val="20"/>
          <w:szCs w:val="20"/>
        </w:rPr>
        <w:t xml:space="preserve">Mobile-first breakpoints throughout (xs → sm → md)</w:t>
      </w:r>
    </w:p>
    <w:p>
      <w:pPr>
        <w:spacing w:after="14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after="0" w:before="120"/>
      <w:jc w:val="right"/>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1A7" w:sz="4" w:space="1"/>
      </w:pBdr>
      <w:spacing w:after="140" w:before="0"/>
    </w:pPr>
    <w:r>
      <w:rPr>
        <w:rFonts w:ascii="Arial" w:cs="Arial" w:eastAsia="Arial" w:hAnsi="Arial"/>
        <w:color w:val="0D61A7"/>
        <w:sz w:val="17"/>
        <w:szCs w:val="17"/>
      </w:rPr>
      <w:t xml:space="preserve">Alpine Home Air — HVAC Landing Page UX Improvements</w:t>
    </w:r>
    <w:r>
      <w:rPr>
        <w:rFonts w:ascii="Arial" w:cs="Arial" w:eastAsia="Arial" w:hAnsi="Arial"/>
        <w:color w:val="666666"/>
        <w:sz w:val="17"/>
        <w:szCs w:val="17"/>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4C9C"/>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0D61A7"/>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2026-03-27T20:41:25.862Z</dcterms:created>
  <dcterms:modified xsi:type="dcterms:W3CDTF">2026-03-27T20:41:25.862Z</dcterms:modified>
</cp:coreProperties>
</file>

<file path=docProps/custom.xml><?xml version="1.0" encoding="utf-8"?>
<Properties xmlns="http://schemas.openxmlformats.org/officeDocument/2006/custom-properties" xmlns:vt="http://schemas.openxmlformats.org/officeDocument/2006/docPropsVTypes"/>
</file>