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66"/>
        <w:gridCol w:w="6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功能标识符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H3.2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个人信息上报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记录个人的信息以及健康状况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详细描述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1.用户进入系统，选择相应的登录方式进行账号登录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2.登录成功进入首页，找到高频专区，点击吉祥码进入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3.进入我的吉祥码，找到个人健康信息上报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4.进行个人健康信息上报，输入相关信息，点击提交完成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处理流程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用户登录添加个人健康状况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系统更新数据，用户查看健康信息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算法流程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用户以“公共”登录时，能够使用个人信息上报功能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公共用户添加个人健康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、核酸检测后录入和更新相应信息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查询条件包括：用户姓名，自测结果，当前体温，详细地址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数据分类：阴性，阳性，无效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系统获取用户选择的分类和当前时间，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生成检测报告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，显示给用户。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66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注释和问题</w:t>
            </w:r>
          </w:p>
        </w:tc>
        <w:tc>
          <w:tcPr>
            <w:tcW w:w="645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58F361"/>
    <w:multiLevelType w:val="singleLevel"/>
    <w:tmpl w:val="4F58F3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137D2"/>
    <w:rsid w:val="39F1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2022-03-26T02:22:00Z</dcterms:created>
  <dc:creator>马燕</dc:creator>
  <cp:lastModifiedBy>马燕</cp:lastModifiedBy>
  <dcterms:modified xsi:type="dcterms:W3CDTF">2022-03-26T03:06:23Z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