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8F69" w14:textId="77777777" w:rsidR="003F06F4" w:rsidRDefault="003C1A34" w:rsidP="00A74D29">
      <w:r>
        <w:fldChar w:fldCharType="begin"/>
      </w:r>
      <w:r>
        <w:instrText xml:space="preserve"> MACROBUTTON MTEditEquationSection2 </w:instrText>
      </w:r>
      <w:r w:rsidRPr="003C1A34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</w:p>
    <w:p w14:paraId="2728A0D0" w14:textId="77777777" w:rsidR="00A74D29" w:rsidRDefault="00A74D29" w:rsidP="00A74D29">
      <w:r w:rsidRPr="00A74D29">
        <w:rPr>
          <w:noProof/>
        </w:rPr>
        <w:drawing>
          <wp:inline distT="0" distB="0" distL="0" distR="0" wp14:anchorId="742EAB8A" wp14:editId="3D77BCB4">
            <wp:extent cx="5486400" cy="411154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142B" w14:textId="77777777" w:rsidR="00A74D29" w:rsidRDefault="00A74D29" w:rsidP="00A74D29"/>
    <w:p w14:paraId="1D488FD6" w14:textId="19C34471" w:rsidR="003C1A34" w:rsidRDefault="00A74D29" w:rsidP="00A74D29">
      <w:r>
        <w:t xml:space="preserve">As discussed below, we will be interested in frequencies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that are </w:t>
      </w:r>
      <w:r w:rsidR="002D3350">
        <w:t xml:space="preserve">very </w:t>
      </w:r>
      <w:r>
        <w:t>large. Such rapid oscillations are not measur</w:t>
      </w:r>
      <w:r w:rsidR="002D3350">
        <w:t>able</w:t>
      </w:r>
      <w:r>
        <w:t xml:space="preserve">; what </w:t>
      </w:r>
      <w:r w:rsidR="002D3350">
        <w:t xml:space="preserve">is commonly </w:t>
      </w:r>
      <w:r>
        <w:t xml:space="preserve">measured is </w:t>
      </w:r>
      <w:r w:rsidR="002D3350">
        <w:t>its</w:t>
      </w:r>
      <w:r>
        <w:t xml:space="preserve"> average over </w:t>
      </w:r>
      <w:r w:rsidR="002D3350">
        <w:t>many oscillations</w:t>
      </w:r>
      <w:r>
        <w:rPr>
          <w:rFonts w:hint="eastAsia"/>
        </w:rPr>
        <w:t>.</w:t>
      </w:r>
    </w:p>
    <w:p w14:paraId="03C2D2E5" w14:textId="68B2126D" w:rsidR="00A74D29" w:rsidRDefault="00A74D29" w:rsidP="00A74D29">
      <w:r w:rsidRPr="00A74D29">
        <w:rPr>
          <w:noProof/>
        </w:rPr>
        <w:drawing>
          <wp:inline distT="0" distB="0" distL="0" distR="0" wp14:anchorId="358F0AB3" wp14:editId="4B9A4F8A">
            <wp:extent cx="5486400" cy="100620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D803" w14:textId="3200BF08" w:rsidR="00CF7AEA" w:rsidRDefault="00CF7AEA" w:rsidP="00CF7AEA">
      <w:pPr>
        <w:pStyle w:val="MTDisplayEquation"/>
      </w:pPr>
      <w:r>
        <w:tab/>
      </w:r>
      <w:r w:rsidRPr="00CF7AEA">
        <w:rPr>
          <w:position w:val="-24"/>
        </w:rPr>
        <w:object w:dxaOrig="1740" w:dyaOrig="620" w14:anchorId="3C654B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0.7pt" o:ole="">
            <v:imagedata r:id="rId8" o:title=""/>
          </v:shape>
          <o:OLEObject Type="Embed" ProgID="Equation.DSMT4" ShapeID="_x0000_i1025" DrawAspect="Content" ObjectID="_1850600038" r:id="rId9"/>
        </w:object>
      </w:r>
    </w:p>
    <w:p w14:paraId="61AD64BB" w14:textId="17D6E5A5" w:rsidR="00CF7AEA" w:rsidRDefault="00CF7AEA" w:rsidP="00CF7AEA">
      <w:r>
        <w:t xml:space="preserve">where the energy loss rate </w:t>
      </w:r>
      <m:oMath>
        <m:r>
          <w:rPr>
            <w:rFonts w:ascii="Cambria Math" w:hAnsi="Cambria Math"/>
          </w:rPr>
          <m:t>A</m:t>
        </m:r>
      </m:oMath>
      <w:r>
        <w:t xml:space="preserve"> is</w:t>
      </w:r>
    </w:p>
    <w:p w14:paraId="6DC45145" w14:textId="4965E1AA" w:rsidR="00CF7AEA" w:rsidRPr="00CF7AEA" w:rsidRDefault="00CF7AEA" w:rsidP="00CF7AEA">
      <w:pPr>
        <w:pStyle w:val="MTDisplayEquation"/>
      </w:pPr>
      <w:r>
        <w:tab/>
      </w:r>
      <w:r w:rsidRPr="00CF7AEA">
        <w:rPr>
          <w:position w:val="-30"/>
        </w:rPr>
        <w:object w:dxaOrig="1680" w:dyaOrig="740" w14:anchorId="59D636D2">
          <v:shape id="_x0000_i1026" type="#_x0000_t75" style="width:83.95pt;height:37.2pt" o:ole="">
            <v:imagedata r:id="rId10" o:title=""/>
          </v:shape>
          <o:OLEObject Type="Embed" ProgID="Equation.DSMT4" ShapeID="_x0000_i1026" DrawAspect="Content" ObjectID="_1850600039" r:id="rId11"/>
        </w:object>
      </w:r>
    </w:p>
    <w:p w14:paraId="64215FF9" w14:textId="77777777" w:rsidR="00A74D29" w:rsidRDefault="00A74D29" w:rsidP="00A74D29">
      <w:r>
        <w:rPr>
          <w:noProof/>
        </w:rPr>
        <w:lastRenderedPageBreak/>
        <w:drawing>
          <wp:inline distT="0" distB="0" distL="0" distR="0" wp14:anchorId="79EA4B27" wp14:editId="2C521832">
            <wp:extent cx="5486400" cy="1268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5CF3" w14:textId="781C9A0F" w:rsidR="003008C6" w:rsidRDefault="003008C6" w:rsidP="00A74D29">
      <w:r>
        <w:rPr>
          <w:rFonts w:hint="eastAsia"/>
        </w:rPr>
        <w:t>T</w:t>
      </w:r>
      <w:r>
        <w:t xml:space="preserve">he spontaneous emission rate </w:t>
      </w:r>
      <w:r w:rsidR="00364B78">
        <w:t xml:space="preserve">from an exited energy level 2 to the ground state energy level 1 </w:t>
      </w:r>
      <w:r>
        <w:t xml:space="preserve">calculated by quantum mechanics </w:t>
      </w:r>
      <w:r w:rsidR="00364B78">
        <w:t>turns out to be</w:t>
      </w:r>
      <w:r>
        <w:t xml:space="preserve"> </w:t>
      </w:r>
    </w:p>
    <w:p w14:paraId="152E1CE2" w14:textId="09461AA6" w:rsidR="004C188A" w:rsidRDefault="004C188A" w:rsidP="00A74D29">
      <w:r>
        <w:rPr>
          <w:noProof/>
        </w:rPr>
        <w:drawing>
          <wp:inline distT="0" distB="0" distL="0" distR="0" wp14:anchorId="647707E9" wp14:editId="45775601">
            <wp:extent cx="5486400" cy="594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4A19" w14:textId="5FBE22F4" w:rsidR="00364B78" w:rsidRPr="00364B78" w:rsidRDefault="00364B78" w:rsidP="00364B78">
      <m:oMathPara>
        <m:oMath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f×A</m:t>
          </m:r>
          <m:r>
            <w:rPr>
              <w:rFonts w:ascii="Cambria Math" w:hAnsi="Cambria Math"/>
            </w:rPr>
            <m:t xml:space="preserve">           </m:t>
          </m:r>
        </m:oMath>
      </m:oMathPara>
    </w:p>
    <w:p w14:paraId="48E4BFDA" w14:textId="77777777" w:rsidR="0081425F" w:rsidRDefault="00364B78" w:rsidP="00A74D29">
      <w:r>
        <w:t>Here</w:t>
      </w:r>
      <w:r w:rsidR="003008C6">
        <w:t xml:space="preserve"> </w:t>
      </w:r>
      <m:oMath>
        <m:r>
          <w:rPr>
            <w:rFonts w:ascii="Cambria Math" w:hAnsi="Cambria Math"/>
          </w:rPr>
          <m:t>f</m:t>
        </m:r>
      </m:oMath>
      <w:r w:rsidR="003008C6">
        <w:t xml:space="preserve"> is called </w:t>
      </w:r>
      <w:r w:rsidR="004C188A">
        <w:rPr>
          <w:rFonts w:hint="eastAsia"/>
        </w:rPr>
        <w:t>o</w:t>
      </w:r>
      <w:r w:rsidR="004C188A">
        <w:t>scillator strength</w:t>
      </w:r>
      <w:r w:rsidR="003008C6">
        <w:t xml:space="preserve">, which was introduced historically to account for the discrepancy between the result of the Lorentz model and the experimental data. </w:t>
      </w:r>
    </w:p>
    <w:p w14:paraId="2516BBC8" w14:textId="796C401E" w:rsidR="004C188A" w:rsidRPr="003008C6" w:rsidRDefault="003008C6" w:rsidP="00A74D29">
      <w:r>
        <w:t>Lorentz model is generally satisfactory for the spontaneous emission of the first excited state. For instance, for the first excited state of Hydrogen,</w:t>
      </w:r>
      <w:r w:rsidR="00DA71FC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≈1.24</m:t>
        </m:r>
      </m:oMath>
      <w:r>
        <w:t>.</w:t>
      </w:r>
    </w:p>
    <w:sectPr w:rsidR="004C188A" w:rsidRPr="003008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A6CB1" w14:textId="77777777" w:rsidR="00C962D0" w:rsidRDefault="00C962D0" w:rsidP="00DA71FC">
      <w:pPr>
        <w:spacing w:after="0" w:line="240" w:lineRule="auto"/>
      </w:pPr>
      <w:r>
        <w:separator/>
      </w:r>
    </w:p>
  </w:endnote>
  <w:endnote w:type="continuationSeparator" w:id="0">
    <w:p w14:paraId="30EB2F5E" w14:textId="77777777" w:rsidR="00C962D0" w:rsidRDefault="00C962D0" w:rsidP="00DA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5D07B" w14:textId="77777777" w:rsidR="00C962D0" w:rsidRDefault="00C962D0" w:rsidP="00DA71FC">
      <w:pPr>
        <w:spacing w:after="0" w:line="240" w:lineRule="auto"/>
      </w:pPr>
      <w:r>
        <w:separator/>
      </w:r>
    </w:p>
  </w:footnote>
  <w:footnote w:type="continuationSeparator" w:id="0">
    <w:p w14:paraId="720E9629" w14:textId="77777777" w:rsidR="00C962D0" w:rsidRDefault="00C962D0" w:rsidP="00DA71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wtzCzMDW3MDA0NzRQ0lEKTi0uzszPAykwrgUAJxRY5ywAAAA="/>
  </w:docVars>
  <w:rsids>
    <w:rsidRoot w:val="003C1A34"/>
    <w:rsid w:val="001A3845"/>
    <w:rsid w:val="002D3350"/>
    <w:rsid w:val="002D38C5"/>
    <w:rsid w:val="003008C6"/>
    <w:rsid w:val="00364B78"/>
    <w:rsid w:val="003C1A34"/>
    <w:rsid w:val="003F06F4"/>
    <w:rsid w:val="004C188A"/>
    <w:rsid w:val="006A395E"/>
    <w:rsid w:val="0081425F"/>
    <w:rsid w:val="00861D07"/>
    <w:rsid w:val="00984181"/>
    <w:rsid w:val="009D56B2"/>
    <w:rsid w:val="00A46BCD"/>
    <w:rsid w:val="00A74D29"/>
    <w:rsid w:val="00A800C8"/>
    <w:rsid w:val="00B54EB6"/>
    <w:rsid w:val="00BA0092"/>
    <w:rsid w:val="00C5688B"/>
    <w:rsid w:val="00C962D0"/>
    <w:rsid w:val="00CF7AEA"/>
    <w:rsid w:val="00D36BF1"/>
    <w:rsid w:val="00D82511"/>
    <w:rsid w:val="00DA71FC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8FAA9"/>
  <w15:chartTrackingRefBased/>
  <w15:docId w15:val="{A8A7A611-D545-4812-9B36-5EB8FFBC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D29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basedOn w:val="DefaultParagraphFont"/>
    <w:rsid w:val="003C1A34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3C1A34"/>
    <w:pPr>
      <w:tabs>
        <w:tab w:val="center" w:pos="4320"/>
        <w:tab w:val="right" w:pos="864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3C1A34"/>
  </w:style>
  <w:style w:type="character" w:styleId="PlaceholderText">
    <w:name w:val="Placeholder Text"/>
    <w:basedOn w:val="DefaultParagraphFont"/>
    <w:uiPriority w:val="99"/>
    <w:semiHidden/>
    <w:rsid w:val="00A74D2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A71FC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A71F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A71FC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A71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zkf</dc:creator>
  <cp:keywords/>
  <dc:description/>
  <cp:lastModifiedBy>Zhao KF</cp:lastModifiedBy>
  <cp:revision>13</cp:revision>
  <dcterms:created xsi:type="dcterms:W3CDTF">2021-10-19T00:58:00Z</dcterms:created>
  <dcterms:modified xsi:type="dcterms:W3CDTF">2026-09-10T18:47:00Z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