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Economics of Asteroid Mining: Assessing Viability, Resource Valuation, and Impacts on Terrestrial Commodity Markets</w:t>
      </w:r>
    </w:p>
    <w:p>
      <w:pPr>
        <w:pStyle w:val="Heading2"/>
      </w:pPr>
      <w:r>
        <w:t>I. Introduction</w:t>
      </w:r>
    </w:p>
    <w:p>
      <w:r>
        <w:br/>
        <w:t xml:space="preserve">The accelerating evolution of the global space economy has sparked renewed interest in the potential of asteroid mining as a transformative source of raw materials for both extraterrestrial and terrestrial applications. </w:t>
        <w:br/>
        <w:t xml:space="preserve">As terrestrial resources such as platinum group metals (PGMs), rare earth elements (REEs), and water become increasingly scarce and environmentally costly to extract, the notion of harvesting these resources from near-Earth objects (NEOs) has shifted from science fiction to credible economic speculation (Lewis, 1996; Elvis, 2014). </w:t>
        <w:br/>
        <w:t>This study evaluates the economic feasibility of asteroid mining within the context of advancing space technology, market dynamics, and sustainability imperatives.</w:t>
        <w:br/>
      </w:r>
    </w:p>
    <w:p>
      <w:pPr>
        <w:pStyle w:val="Heading2"/>
      </w:pPr>
      <w:r>
        <w:t>II. Literature Review</w:t>
      </w:r>
    </w:p>
    <w:p>
      <w:r>
        <w:br/>
        <w:t xml:space="preserve">Early analyses of space resource utilization, such as those by O’Leary (1977) and Sonter (1997), established foundational models for understanding the costs and benefits associated with extraterrestrial mining operations. </w:t>
        <w:br/>
        <w:t xml:space="preserve">Subsequent studies have refined these frameworks, integrating advances in propulsion, robotics, and in-situ resource utilization (ISRU) (Andrews et al., 2015). </w:t>
        <w:br/>
        <w:t>Comparative analyses highlight the potential of asteroid mining to alleviate environmental degradation caused by terrestrial extraction (Kargel, 2018), though significant uncertainties persist regarding economic scalability and legal governance.</w:t>
        <w:br/>
      </w:r>
    </w:p>
    <w:p>
      <w:pPr>
        <w:pStyle w:val="Heading2"/>
      </w:pPr>
      <w:r>
        <w:t>III. Theoretical Framework</w:t>
      </w:r>
    </w:p>
    <w:p>
      <w:r>
        <w:br/>
        <w:t xml:space="preserve">The theoretical foundation draws from classical resource economics, notably Hotelling’s Rule (Hotelling, 1931), which postulates that the price of a non-renewable resource increases at the rate of interest over time. </w:t>
        <w:br/>
        <w:t xml:space="preserve">This model can be extended to extraterrestrial resources by incorporating space-specific constraints such as delta-v requirements, mission duration, and technological maturity (Elvis et al., 2020). </w:t>
        <w:br/>
        <w:t>Investment appraisal techniques such as Net Present Value (NPV) and Internal Rate of Return (IRR) are employed to determine profitability under varying cost and yield scenarios.</w:t>
        <w:br/>
      </w:r>
    </w:p>
    <w:p>
      <w:pPr>
        <w:pStyle w:val="Heading2"/>
      </w:pPr>
      <w:r>
        <w:t>IV. Methodology</w:t>
      </w:r>
    </w:p>
    <w:p>
      <w:r>
        <w:br/>
        <w:t xml:space="preserve">A mixed-methods research design is adopted, combining quantitative modeling with qualitative policy analysis. </w:t>
        <w:br/>
        <w:t xml:space="preserve">Quantitative data is drawn from asteroid databases such as NASA’s JPL Small-Body Database and space mission cost estimates from SpaceX, Blue Origin, and NASA reports. </w:t>
        <w:br/>
        <w:t xml:space="preserve">Analytical tools include Monte Carlo simulations for uncertainty assessment and econometric forecasting models for commodity market impacts. </w:t>
        <w:br/>
        <w:t>Qualitative data encompasses legal frameworks like the Outer Space Treaty (1967) and the Artemis Accords (2020), as well as commercial case studies.</w:t>
        <w:br/>
      </w:r>
    </w:p>
    <w:p>
      <w:pPr>
        <w:pStyle w:val="Heading2"/>
      </w:pPr>
      <w:r>
        <w:t>V. Empirical Analysis and Results</w:t>
      </w:r>
    </w:p>
    <w:p>
      <w:r>
        <w:br/>
        <w:t xml:space="preserve">Economic viability assessments reveal that break-even costs for asteroid mining operations are highly sensitive to launch costs and resource concentration. </w:t>
        <w:br/>
        <w:t xml:space="preserve">For example, at a launch cost of $1,000 per kilogram (as projected by SpaceX’s Starship program), profitability becomes attainable for high-grade metallic asteroids within 20 years of operation (Elvis, 2014). </w:t>
        <w:br/>
        <w:t xml:space="preserve">Resource valuation of asteroids such as 16 Psyche, estimated to contain metals worth trillions of USD, indicates potential returns surpassing terrestrial alternatives (Elvis et al., 2020). </w:t>
        <w:br/>
        <w:t>Simulation results suggest that a 5% increase in global platinum supply could depress prices by up to 25%, generating significant ripple effects across mining-dependent economies.</w:t>
        <w:br/>
      </w:r>
    </w:p>
    <w:p>
      <w:pPr>
        <w:pStyle w:val="Heading2"/>
      </w:pPr>
      <w:r>
        <w:t>VI. Discussion</w:t>
      </w:r>
    </w:p>
    <w:p>
      <w:r>
        <w:br/>
        <w:t xml:space="preserve">The findings highlight both the immense promise and the profound uncertainty of asteroid mining. </w:t>
        <w:br/>
        <w:t xml:space="preserve">While potential market disruptions and technological risks are considerable, the environmental and economic benefits could redefine global commodity dynamics. </w:t>
        <w:br/>
        <w:t xml:space="preserve">If realized, asteroid mining could reduce terrestrial ecological strain and catalyze new industrial sectors such as orbital manufacturing and deep-space logistics (Kargel, 2018). </w:t>
        <w:br/>
        <w:t>However, legal ambiguities and unequal access to technology may exacerbate geopolitical inequalities unless governed through cooperative frameworks.</w:t>
        <w:br/>
      </w:r>
    </w:p>
    <w:p>
      <w:pPr>
        <w:pStyle w:val="Heading2"/>
      </w:pPr>
      <w:r>
        <w:t>VII. Policy Recommendations and Challenges</w:t>
      </w:r>
    </w:p>
    <w:p>
      <w:r>
        <w:br/>
        <w:t xml:space="preserve">Policymakers should prioritize the creation of an international governance regime that balances commercial incentives with equitable access and sustainability principles. </w:t>
        <w:br/>
        <w:t xml:space="preserve">Recommendations include establishing clear property rights under revised interpretations of the Outer Space Treaty, offering tax incentives or public-private partnerships to reduce investment risk, and instituting space mining environmental standards. </w:t>
        <w:br/>
        <w:t>Key challenges include mitigating space debris, ensuring compliance, and preventing monopolization by a few technologically advanced actors.</w:t>
        <w:br/>
      </w:r>
    </w:p>
    <w:p>
      <w:pPr>
        <w:pStyle w:val="Heading2"/>
      </w:pPr>
      <w:r>
        <w:t>VIII. Conclusion</w:t>
      </w:r>
    </w:p>
    <w:p>
      <w:r>
        <w:br/>
        <w:t xml:space="preserve">Asteroid mining represents both a frontier of human ambition and a test case for the adaptability of economic theory beyond Earth. </w:t>
        <w:br/>
        <w:t xml:space="preserve">The viability of this enterprise hinges on sustained technological progress, supportive international frameworks, and prudent economic planning. </w:t>
        <w:br/>
        <w:t>As humanity moves toward a multiplanetary economy, the principles outlined in this research underscore the need for a balanced integration of innovation, regulation, and sustainability.</w:t>
        <w:br/>
      </w:r>
    </w:p>
    <w:p>
      <w:pPr>
        <w:pStyle w:val="Heading2"/>
      </w:pPr>
      <w:r>
        <w:t>References</w:t>
      </w:r>
    </w:p>
    <w:p>
      <w:pPr>
        <w:pStyle w:val="ListBullet"/>
      </w:pPr>
      <w:r>
        <w:t>Andrews, D., Brown, O., &amp; Elwood, J. (2015). Asteroid Mining and the Future of Space Economy. *Acta Astronautica*, 107, 1–9.</w:t>
      </w:r>
    </w:p>
    <w:p>
      <w:pPr>
        <w:pStyle w:val="ListBullet"/>
      </w:pPr>
      <w:r>
        <w:t>Elvis, M. (2014). How Many Ore-Bearing Asteroids? *Planetary and Space Science*, 91, 20–26.</w:t>
      </w:r>
    </w:p>
    <w:p>
      <w:pPr>
        <w:pStyle w:val="ListBullet"/>
      </w:pPr>
      <w:r>
        <w:t>Elvis, M., Krolikowski, A., &amp; Milligan, T. (2020). Legal and Economic Implications of Space Resource Utilization. *Space Policy*, 54, 101389.</w:t>
      </w:r>
    </w:p>
    <w:p>
      <w:pPr>
        <w:pStyle w:val="ListBullet"/>
      </w:pPr>
      <w:r>
        <w:t>Hotelling, H. (1931). The Economics of Exhaustible Resources. *Journal of Political Economy*, 39(2), 137–175.</w:t>
      </w:r>
    </w:p>
    <w:p>
      <w:pPr>
        <w:pStyle w:val="ListBullet"/>
      </w:pPr>
      <w:r>
        <w:t>Kargel, J. S. (2018). Space Resources and Planetary Engineering. *Springer Handbook of Space Resources*. Springer.</w:t>
      </w:r>
    </w:p>
    <w:p>
      <w:pPr>
        <w:pStyle w:val="ListBullet"/>
      </w:pPr>
      <w:r>
        <w:t>Lewis, J. S. (1996). *Mining the Sky: Untold Riches from the Asteroids, Comets, and Planets*. Addison-Wesley.</w:t>
      </w:r>
    </w:p>
    <w:p>
      <w:pPr>
        <w:pStyle w:val="ListBullet"/>
      </w:pPr>
      <w:r>
        <w:t>O’Leary, B. T. (1977). Mining the Apollo and Amor Asteroids. *Science*, 197(4301), 363–366.</w:t>
      </w:r>
    </w:p>
    <w:p>
      <w:pPr>
        <w:pStyle w:val="ListBullet"/>
      </w:pPr>
      <w:r>
        <w:t>Sonter, M. (1997). The Technical and Economic Feasibility of Mining the Near-Earth Asteroids. *Acta Astronautica*, 41(4–10), 637–647.</w:t>
      </w:r>
    </w:p>
    <w:p>
      <w:pPr>
        <w:pStyle w:val="Heading2"/>
      </w:pPr>
      <w:r>
        <w:t>Appendices</w:t>
      </w:r>
    </w:p>
    <w:p>
      <w:r>
        <w:br/>
        <w:t>Appendix A: Simulation Model Parameters and Assumptions</w:t>
        <w:br/>
        <w:t>Appendix B: Glossary of Terms (e.g., NEOs, delta-v)</w:t>
        <w:br/>
        <w:t>Appendix C: Supplementary Data Tables and Graphs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