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9D6B7">
      <w:pPr>
        <w:jc w:val="center"/>
        <w:rPr>
          <w:rFonts w:hint="eastAsia" w:ascii="楷体" w:hAnsi="楷体" w:eastAsia="楷体" w:cs="楷体"/>
          <w:b/>
          <w:bCs/>
          <w:sz w:val="28"/>
          <w:szCs w:val="28"/>
        </w:rPr>
      </w:pPr>
      <w:bookmarkStart w:id="0" w:name="_GoBack"/>
      <w:bookmarkEnd w:id="0"/>
      <w:r>
        <w:rPr>
          <w:rFonts w:hint="eastAsia" w:ascii="楷体" w:hAnsi="楷体" w:eastAsia="楷体" w:cs="楷体"/>
          <w:b/>
          <w:bCs/>
          <w:sz w:val="28"/>
          <w:szCs w:val="28"/>
          <w:lang w:val="en-US"/>
        </w:rPr>
        <w:t>基于马克思主义社会科学方法论的人工智能治理研究</w:t>
      </w:r>
    </w:p>
    <w:p w14:paraId="1D5B9495">
      <w:pPr>
        <w:keepNext w:val="0"/>
        <w:keepLines w:val="0"/>
        <w:pageBreakBefore w:val="0"/>
        <w:widowControl w:val="0"/>
        <w:kinsoku/>
        <w:wordWrap/>
        <w:overflowPunct/>
        <w:topLinePunct w:val="0"/>
        <w:autoSpaceDE/>
        <w:autoSpaceDN/>
        <w:bidi w:val="0"/>
        <w:adjustRightInd/>
        <w:snapToGrid/>
        <w:spacing w:before="312" w:beforeLines="100" w:beforeAutospacing="0" w:after="312" w:afterLines="100" w:afterAutospacing="0" w:line="400" w:lineRule="exact"/>
        <w:ind w:left="0" w:leftChars="0" w:right="0" w:rightChars="0" w:firstLine="0" w:firstLineChars="0"/>
        <w:jc w:val="center"/>
        <w:textAlignment w:val="auto"/>
        <w:rPr>
          <w:rFonts w:hint="eastAsia" w:ascii="楷体" w:hAnsi="楷体" w:eastAsia="楷体" w:cs="楷体"/>
          <w:b/>
          <w:bCs/>
          <w:sz w:val="20"/>
          <w:szCs w:val="20"/>
          <w:lang w:val="en-US" w:eastAsia="zh-CN"/>
        </w:rPr>
      </w:pPr>
      <w:r>
        <w:rPr>
          <w:rFonts w:hint="eastAsia" w:ascii="楷体" w:hAnsi="楷体" w:eastAsia="楷体" w:cs="楷体"/>
          <w:b/>
          <w:bCs/>
          <w:sz w:val="24"/>
          <w:szCs w:val="24"/>
        </w:rPr>
        <w:t>学号</w:t>
      </w:r>
      <w:r>
        <w:rPr>
          <w:rFonts w:hint="eastAsia" w:ascii="楷体" w:hAnsi="楷体" w:eastAsia="楷体" w:cs="楷体"/>
          <w:b/>
          <w:bCs/>
          <w:sz w:val="24"/>
          <w:szCs w:val="24"/>
          <w:lang w:eastAsia="zh-CN"/>
        </w:rPr>
        <w:t>：</w:t>
      </w:r>
      <w:r>
        <w:rPr>
          <w:rFonts w:hint="eastAsia" w:ascii="楷体" w:hAnsi="楷体" w:eastAsia="楷体" w:cs="楷体"/>
          <w:b/>
          <w:bCs/>
          <w:sz w:val="24"/>
          <w:szCs w:val="24"/>
          <w:lang w:val="en-US" w:eastAsia="zh-CN"/>
        </w:rPr>
        <w:t>2025212050</w:t>
      </w:r>
      <w:r>
        <w:rPr>
          <w:rFonts w:hint="eastAsia" w:ascii="楷体" w:hAnsi="楷体" w:eastAsia="楷体" w:cs="楷体"/>
          <w:b/>
          <w:bCs/>
          <w:sz w:val="24"/>
          <w:szCs w:val="24"/>
        </w:rPr>
        <w:t xml:space="preserve"> </w:t>
      </w:r>
      <w:r>
        <w:rPr>
          <w:rFonts w:hint="eastAsia" w:ascii="楷体" w:hAnsi="楷体" w:eastAsia="楷体" w:cs="楷体"/>
          <w:b/>
          <w:bCs/>
          <w:sz w:val="24"/>
          <w:szCs w:val="24"/>
          <w:lang w:val="en-US" w:eastAsia="zh-CN"/>
        </w:rPr>
        <w:t xml:space="preserve"> </w:t>
      </w:r>
      <w:r>
        <w:rPr>
          <w:rFonts w:hint="eastAsia" w:ascii="楷体" w:hAnsi="楷体" w:eastAsia="楷体" w:cs="楷体"/>
          <w:b/>
          <w:bCs/>
          <w:sz w:val="24"/>
          <w:szCs w:val="24"/>
        </w:rPr>
        <w:t>姓名：</w:t>
      </w:r>
      <w:r>
        <w:rPr>
          <w:rFonts w:hint="eastAsia" w:ascii="楷体" w:hAnsi="楷体" w:eastAsia="楷体" w:cs="楷体"/>
          <w:b/>
          <w:bCs/>
          <w:sz w:val="24"/>
          <w:szCs w:val="24"/>
          <w:lang w:val="en-US" w:eastAsia="zh-CN"/>
        </w:rPr>
        <w:t xml:space="preserve">吴雨青 </w:t>
      </w:r>
      <w:r>
        <w:rPr>
          <w:rFonts w:hint="eastAsia" w:ascii="楷体" w:hAnsi="楷体" w:eastAsia="楷体" w:cs="楷体"/>
          <w:b/>
          <w:bCs/>
          <w:sz w:val="24"/>
          <w:szCs w:val="24"/>
        </w:rPr>
        <w:t>专业：公共管理</w:t>
      </w:r>
      <w:r>
        <w:rPr>
          <w:rFonts w:hint="eastAsia" w:ascii="楷体" w:hAnsi="楷体" w:eastAsia="楷体" w:cs="楷体"/>
          <w:b/>
          <w:bCs/>
          <w:sz w:val="24"/>
          <w:szCs w:val="24"/>
          <w:lang w:val="en-US" w:eastAsia="zh-CN"/>
        </w:rPr>
        <w:t xml:space="preserve"> </w:t>
      </w:r>
      <w:r>
        <w:rPr>
          <w:rFonts w:hint="eastAsia" w:ascii="楷体" w:hAnsi="楷体" w:eastAsia="楷体" w:cs="楷体"/>
          <w:b/>
          <w:bCs/>
          <w:sz w:val="24"/>
          <w:szCs w:val="24"/>
        </w:rPr>
        <w:t>学院：</w:t>
      </w:r>
      <w:r>
        <w:rPr>
          <w:rFonts w:hint="eastAsia" w:ascii="楷体" w:hAnsi="楷体" w:eastAsia="楷体" w:cs="楷体"/>
          <w:b/>
          <w:bCs/>
          <w:sz w:val="24"/>
          <w:szCs w:val="24"/>
          <w:lang w:val="en-US" w:eastAsia="zh-CN"/>
        </w:rPr>
        <w:t>政府管理学院</w:t>
      </w:r>
    </w:p>
    <w:p w14:paraId="56169B6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rPr>
          <w:rFonts w:hint="eastAsia" w:ascii="楷体" w:hAnsi="楷体" w:eastAsia="楷体" w:cs="楷体"/>
          <w:b w:val="0"/>
          <w:i w:val="0"/>
          <w:sz w:val="21"/>
          <w:szCs w:val="21"/>
        </w:rPr>
      </w:pPr>
      <w:r>
        <w:rPr>
          <w:rFonts w:hint="eastAsia" w:ascii="楷体" w:hAnsi="楷体" w:eastAsia="楷体" w:cs="楷体"/>
          <w:b/>
          <w:bCs/>
          <w:i w:val="0"/>
          <w:sz w:val="21"/>
          <w:szCs w:val="21"/>
        </w:rPr>
        <w:t>摘要</w:t>
      </w:r>
      <w:r>
        <w:rPr>
          <w:rFonts w:hint="eastAsia" w:ascii="楷体" w:hAnsi="楷体" w:eastAsia="楷体" w:cs="楷体"/>
          <w:b/>
          <w:bCs/>
          <w:i w:val="0"/>
          <w:sz w:val="21"/>
          <w:szCs w:val="21"/>
          <w:lang w:eastAsia="zh-CN"/>
        </w:rPr>
        <w:t>：</w:t>
      </w:r>
      <w:r>
        <w:rPr>
          <w:rFonts w:hint="eastAsia" w:ascii="楷体" w:hAnsi="楷体" w:eastAsia="楷体" w:cs="楷体"/>
          <w:b w:val="0"/>
          <w:i w:val="0"/>
          <w:sz w:val="21"/>
          <w:szCs w:val="21"/>
        </w:rPr>
        <w:t>人工智能的快速发展推动了生产力的跃升，也催生了“数据资本主义”的新形态。数据和算法逐渐成为新的生产资料，但在资本逻辑主导下，其收益分配日益不均，社会公共利益被边缘化。本文以马克思主义社会科学方法论为理论支撑，从唯物史观和实践逻辑出发，分析人工智能治理中资本积累机制的社会后果，并提出一种制度化创新——公共算法社会分红基金。ASDF旨在通过算法红利的社会化回流，构建“以公共授权为前提、以社会福祉为目标、以公开问责为机制、以多层协同为结构”的人工智能公共逻辑框架。本文在系统梳理国内外研究的基础上，结合中国数据治理的政策实践，构建ASDF的理论模型与运行机制，探讨其在社会再分配、数字劳动保护及算法伦理中的制度价值。研究表明，马克思主义方法论提供了超越技术理性、重建社会理性的制度基础，而ASDF机制可作为人工智能治理中“社会价值回归”的创新路径，为全球AI治理提供中国方案。</w:t>
      </w:r>
    </w:p>
    <w:p w14:paraId="2C970AB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rPr>
          <w:rFonts w:hint="eastAsia" w:ascii="楷体" w:hAnsi="楷体" w:eastAsia="楷体" w:cs="楷体"/>
          <w:sz w:val="21"/>
          <w:szCs w:val="21"/>
        </w:rPr>
      </w:pPr>
      <w:r>
        <w:rPr>
          <w:rFonts w:hint="eastAsia" w:ascii="楷体" w:hAnsi="楷体" w:eastAsia="楷体" w:cs="楷体"/>
          <w:b/>
          <w:bCs w:val="0"/>
          <w:i w:val="0"/>
          <w:sz w:val="21"/>
          <w:szCs w:val="21"/>
        </w:rPr>
        <w:t>关键词：</w:t>
      </w:r>
      <w:r>
        <w:rPr>
          <w:rFonts w:hint="eastAsia" w:ascii="楷体" w:hAnsi="楷体" w:eastAsia="楷体" w:cs="楷体"/>
          <w:b w:val="0"/>
          <w:bCs/>
          <w:i w:val="0"/>
          <w:sz w:val="21"/>
          <w:szCs w:val="21"/>
        </w:rPr>
        <w:t>马</w:t>
      </w:r>
      <w:r>
        <w:rPr>
          <w:rFonts w:hint="eastAsia" w:ascii="楷体" w:hAnsi="楷体" w:eastAsia="楷体" w:cs="楷体"/>
          <w:b w:val="0"/>
          <w:i w:val="0"/>
          <w:sz w:val="21"/>
          <w:szCs w:val="21"/>
        </w:rPr>
        <w:t>克思主义社会科学方法论；公共管理；制度创新</w:t>
      </w:r>
    </w:p>
    <w:p w14:paraId="78B1B27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4"/>
          <w:szCs w:val="24"/>
        </w:rPr>
      </w:pPr>
      <w:r>
        <w:rPr>
          <w:rFonts w:hint="eastAsia" w:ascii="楷体" w:hAnsi="楷体" w:eastAsia="楷体" w:cs="楷体"/>
          <w:b/>
          <w:bCs/>
          <w:sz w:val="24"/>
          <w:szCs w:val="24"/>
        </w:rPr>
        <w:t>一、引言：从数据资本主义到社会再分配的时代命题</w:t>
      </w:r>
    </w:p>
    <w:p w14:paraId="D4424F2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21世纪的人工智能浪潮带来了前所未有的生产力解放，也引发了深刻的社会结构重构。数据作为新的“生产资料”，已成为财富创造的核心要素，但其分配机制高度倾斜。资本通过算法与平台的垄断，垄断了信息、流量与劳动成果，从而形成新的剥削关系[1]。正如Murdock所言，“人工智能构成了原始积累的再版，只是圈地的对象从土地变成了数据”[2]。在这种体系中，社会劳动被重新定义为“被计算的劳动”，个体的创造力被算法吸纳为资本收益。</w:t>
      </w:r>
    </w:p>
    <w:p w14:paraId="DE9645B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这种结构性不平衡带来了三重危机：数据公共性的侵蚀、算法权力的不透明、社会分配机制的失衡。当公共数据成为资本积累的工具，公共利益被转化为私人利润，人工智能的社会基础也随之被动摇。</w:t>
      </w:r>
    </w:p>
    <w:p w14:paraId="AA07951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马克思主义指出，技术并非中立，而是嵌入特定的生产关系之中。唯有重新定义数据与算法的社会属性，才能打破资本逻辑对技术发展的控制。本文认为，人工智能治理的真正挑战不在于如何“规范技术”，而在于如何通过制度重构实现社会再分配，使人工智能的成果惠及社会整体，而非服务于资本的自我增殖。</w:t>
      </w:r>
    </w:p>
    <w:p w14:paraId="F182973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color w:val="auto"/>
          <w:sz w:val="21"/>
          <w:szCs w:val="21"/>
        </w:rPr>
      </w:pPr>
      <w:r>
        <w:rPr>
          <w:rFonts w:hint="eastAsia" w:ascii="楷体" w:hAnsi="楷体" w:eastAsia="楷体" w:cs="楷体"/>
          <w:b w:val="0"/>
          <w:bCs w:val="0"/>
          <w:i w:val="0"/>
          <w:iCs w:val="0"/>
          <w:color w:val="auto"/>
          <w:kern w:val="2"/>
          <w:sz w:val="21"/>
          <w:szCs w:val="21"/>
          <w:highlight w:val="none"/>
          <w:vertAlign w:val="baseline"/>
          <w:lang w:val="en-US" w:eastAsia="zh-CN" w:bidi="ar-SA"/>
        </w:rPr>
        <w:t>中国在“数据二十条”、算法推荐规定、生成式AI管理办法等政策引领下，初步构建起以“安全—确权—流通—收益”为核心的治理体系。然而，顶层设计虽完善，执行层面仍存在制度断裂、协同缺位、公众参与不足等问题。要实现数据红利与公共价值的共赢，亟须从制度设计转向可计量、可问责、可持续的公共治理框架。</w:t>
      </w:r>
    </w:p>
    <w:p w14:paraId="3B4BB2C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因而，本文旨在借助马克思主义社会科学方法论，深入剖析人工智能治理领域所存在的内在结构性冲突。本文提出了一种新型的制度创新模式——“公共逻辑”导向下的公共算法社会分红基金。并进一步探讨该机制在我国数据治理体系中的融入路径及其在全球范围内的参考价值。</w:t>
      </w:r>
    </w:p>
    <w:p w14:paraId="48489A4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二、文献综述：国内外前沿研究与理论缺口</w:t>
      </w:r>
    </w:p>
    <w:p w14:paraId="89E4DF0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（一）国外研究：从算法治理到社会正义框架</w:t>
      </w:r>
    </w:p>
    <w:p w14:paraId="779B67AE">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国际学界早在2010年代就开始探讨人工智能的治理问题。UNESCO《人工智能伦理建议》（2021）首次提出“以公共价值为导向的AI发展模式”，主张算法治理应以人权、公平与包容为核心[3]。欧盟《AI Act》（2024）则将“算法影响评估”（AIA）纳入立法框架，通过强制透明度与风险分级制度，试图建立技术合规与社会责任的双重标准。加拿大、荷兰等国的政府项目已将AIA制度化，要求高风险算法必须接受社会审查和第三方评估。</w:t>
      </w:r>
    </w:p>
    <w:p w14:paraId="5A37FF7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然而，这些框架大多停留在伦理与合规层面。Reisman等学者指出，AIA更多是一种程序性约束，并未触及算法背后的资本积累逻辑[4]。Graham Murdock进一步指出，人工智能治理的伦理化表象，实际上掩盖了资本对社会剩余价值的新型占有方式[2]。</w:t>
      </w:r>
    </w:p>
    <w:p w14:paraId="AF9523A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换言之，欧美模式在“形式正义”上取得进展，却未解决“结构性不平等”的根源。</w:t>
      </w:r>
    </w:p>
    <w:p w14:paraId="07B8388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（二）国内研究：从伦理治理到制度创新</w:t>
      </w:r>
    </w:p>
    <w:p w14:paraId="B39856F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中国学界的研究近年呈现出从技术伦理向制度治理的转向。刘思远[</w:t>
      </w:r>
      <w:r>
        <w:rPr>
          <w:rFonts w:hint="eastAsia" w:ascii="楷体" w:hAnsi="楷体" w:eastAsia="楷体" w:cs="楷体"/>
          <w:sz w:val="21"/>
          <w:szCs w:val="21"/>
          <w:lang w:val="en-US" w:eastAsia="zh-CN"/>
        </w:rPr>
        <w:t>1</w:t>
      </w:r>
      <w:r>
        <w:rPr>
          <w:rFonts w:hint="eastAsia" w:ascii="楷体" w:hAnsi="楷体" w:eastAsia="楷体" w:cs="楷体"/>
          <w:sz w:val="21"/>
          <w:szCs w:val="21"/>
        </w:rPr>
        <w:t>]提出，人工智能驱动下的数据要素资本化使“数据剩余价值”成为资本积累的新来源，呼吁通过“数据剩余价值回流机制”实现社会分配平衡。彭姝[</w:t>
      </w:r>
      <w:r>
        <w:rPr>
          <w:rFonts w:hint="default" w:ascii="楷体" w:hAnsi="楷体" w:eastAsia="楷体" w:cs="楷体"/>
          <w:sz w:val="21"/>
          <w:szCs w:val="21"/>
          <w:lang w:val="en-US"/>
        </w:rPr>
        <w:t>5</w:t>
      </w:r>
      <w:r>
        <w:rPr>
          <w:rFonts w:hint="eastAsia" w:ascii="楷体" w:hAnsi="楷体" w:eastAsia="楷体" w:cs="楷体"/>
          <w:sz w:val="21"/>
          <w:szCs w:val="21"/>
        </w:rPr>
        <w:t>]则以“生成式治理”为视角，强调人工智能已成为社会行动的参与者，应通过制度化实践重建人的主体性。李亚男[</w:t>
      </w:r>
      <w:r>
        <w:rPr>
          <w:rFonts w:hint="eastAsia" w:ascii="楷体" w:hAnsi="楷体" w:eastAsia="楷体" w:cs="楷体"/>
          <w:sz w:val="21"/>
          <w:szCs w:val="21"/>
          <w:lang w:val="en-US" w:eastAsia="zh-CN"/>
        </w:rPr>
        <w:t>6</w:t>
      </w:r>
      <w:r>
        <w:rPr>
          <w:rFonts w:hint="eastAsia" w:ascii="楷体" w:hAnsi="楷体" w:eastAsia="楷体" w:cs="楷体"/>
          <w:sz w:val="21"/>
          <w:szCs w:val="21"/>
        </w:rPr>
        <w:t>]从“新质生产力”角度论述了AI对人本主义哲学的挑战，指出社会管理应回归“以人为中心”的价值框架。张诗博[</w:t>
      </w:r>
      <w:r>
        <w:rPr>
          <w:rFonts w:hint="eastAsia" w:ascii="楷体" w:hAnsi="楷体" w:eastAsia="楷体" w:cs="楷体"/>
          <w:sz w:val="21"/>
          <w:szCs w:val="21"/>
          <w:lang w:val="en-US" w:eastAsia="zh-CN"/>
        </w:rPr>
        <w:t>7</w:t>
      </w:r>
      <w:r>
        <w:rPr>
          <w:rFonts w:hint="eastAsia" w:ascii="楷体" w:hAnsi="楷体" w:eastAsia="楷体" w:cs="楷体"/>
          <w:sz w:val="21"/>
          <w:szCs w:val="21"/>
        </w:rPr>
        <w:t>]和林婷[</w:t>
      </w:r>
      <w:r>
        <w:rPr>
          <w:rFonts w:hint="eastAsia" w:ascii="楷体" w:hAnsi="楷体" w:eastAsia="楷体" w:cs="楷体"/>
          <w:sz w:val="21"/>
          <w:szCs w:val="21"/>
          <w:lang w:val="en-US" w:eastAsia="zh-CN"/>
        </w:rPr>
        <w:t>8</w:t>
      </w:r>
      <w:r>
        <w:rPr>
          <w:rFonts w:hint="eastAsia" w:ascii="楷体" w:hAnsi="楷体" w:eastAsia="楷体" w:cs="楷体"/>
          <w:sz w:val="21"/>
          <w:szCs w:val="21"/>
        </w:rPr>
        <w:t>]则从马克思公共性思想出发，主张构建社会治理共同体，将公共利益嵌入社会治理体系。</w:t>
      </w:r>
    </w:p>
    <w:p w14:paraId="935612E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尽管国内研究已在智能治理的制度理念上实现破冰，但深层次的“实施鸿沟”依然触目：我们尚缺乏一套能让数据红利顺畅回流社会的系统性公共分红机制；“公共性”这一核心概念仍悬浮于半空，其价值目标与制度实现之间缺乏坚实的操作桥梁；更为关键的是，公共算法的试点与评估，仍处在“有实践，无度量”的经验主义阶段，缺乏制度化的实证校准工具。</w:t>
      </w:r>
    </w:p>
    <w:p w14:paraId="AA28F2C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这些缺陷共同指向一个核心困境：中国在人工智能治理领域虽已实现“政策先行”，但理论的脚手架却未能及时跟上，导致宏伟的蓝图与现实的地基之间，出现了危险的“断层”。为弥合这一断裂，本文试图引入马克思主义社会科学方法论，旨在锻造一个既能穿透现实批判，又能指引未来建设的理论框架。。</w:t>
      </w:r>
    </w:p>
    <w:p w14:paraId="687E04D0">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三、理论基础：马克思主义社会科学方法论的现实启示</w:t>
      </w:r>
    </w:p>
    <w:p w14:paraId="A39F3BA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马克思主义社会科学方法论为理解人工智能治理提供了根本的哲学支点。它强调社会现象的历史性与实践性，主张在现实社会关系中分析技术、资本与人的互动机制[</w:t>
      </w:r>
      <w:r>
        <w:rPr>
          <w:rFonts w:hint="eastAsia" w:ascii="楷体" w:hAnsi="楷体" w:eastAsia="楷体" w:cs="楷体"/>
          <w:sz w:val="21"/>
          <w:szCs w:val="21"/>
          <w:lang w:val="en-US" w:eastAsia="zh-CN"/>
        </w:rPr>
        <w:t>9</w:t>
      </w:r>
      <w:r>
        <w:rPr>
          <w:rFonts w:hint="eastAsia" w:ascii="楷体" w:hAnsi="楷体" w:eastAsia="楷体" w:cs="楷体"/>
          <w:sz w:val="21"/>
          <w:szCs w:val="21"/>
        </w:rPr>
        <w:t>]。</w:t>
      </w:r>
    </w:p>
    <w:p w14:paraId="5FDF701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（一）唯物史观：技术发展的社会定位</w:t>
      </w:r>
    </w:p>
    <w:p w14:paraId="CE3CEAE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唯物史观认为，生产力的发展受制于特定的生产关系。人工智能作为新质生产力，不仅改变了生产工具，也重塑了社会结构。资本主义条件下，技术的发展被异化为利润追逐的工具，使人沦为数据生产的附庸。</w:t>
      </w:r>
    </w:p>
    <w:p w14:paraId="887D68B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刘思远[</w:t>
      </w:r>
      <w:r>
        <w:rPr>
          <w:rFonts w:hint="default" w:ascii="楷体" w:hAnsi="楷体" w:eastAsia="楷体" w:cs="楷体"/>
          <w:sz w:val="21"/>
          <w:szCs w:val="21"/>
          <w:lang w:val="en-US"/>
        </w:rPr>
        <w:t>1</w:t>
      </w:r>
      <w:r>
        <w:rPr>
          <w:rFonts w:hint="eastAsia" w:ascii="楷体" w:hAnsi="楷体" w:eastAsia="楷体" w:cs="楷体"/>
          <w:sz w:val="21"/>
          <w:szCs w:val="21"/>
        </w:rPr>
        <w:t>]指出，数据资本化的过程本质上是“对社会劳动的再剥削”。因此，AI治理的关键不在于提高算法效率，而在于通过制度手段改变其分配机制，实现“生产关系的再社会化”。</w:t>
      </w:r>
    </w:p>
    <w:p w14:paraId="2CCAC58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（二）实践逻辑：从技术理性到社会理性</w:t>
      </w:r>
    </w:p>
    <w:p w14:paraId="A974D20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马克思认为，实践是认识的来源与检验标准。彭姝[5]提出的“生成式治理”概念与此一脉相承，指出人工智能已深度嵌入社会运行，必须以人的实践为中心重构其治理体系。AI不再是“工具”，而是社会行动的结构要素。</w:t>
      </w:r>
    </w:p>
    <w:p w14:paraId="500C53A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当前的人工智能治理实践，往往将技术视为实现治理效率的工具，却忽略了技术背后的社会关系。例如，政府在推广智能政务与算法监管时，更多强调技术手段的精准与高效，而较少考虑算法嵌入的制度偏向和数据采集中的权力不对称。这种“去社会化”的治理逻辑容易导致治理主体被动依附于算法模型，使公共决策的民主性与包容性受损。按照马克思的实践逻辑，人工智能治理必须重新嵌入社会实践，将技术发展与人的活动结合起来，从而实现“技术理性向实践理性”的转化[5]。</w:t>
      </w:r>
    </w:p>
    <w:p w14:paraId="E37B5DA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所以，治理AI，我们不能总是想着“堵”和“防”。关键在于，如何让那些有益的社会实践“沉淀”下来，变成社会运转的新“操作系统”。这套系统不只是为了规避风险，更是为了赋能社会——让它能自己“学习”，自己“调整”，从而在数字时代开辟一片更广阔的公共空间。</w:t>
      </w:r>
    </w:p>
    <w:p w14:paraId="2E68680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（三）总体性分析：从资本逻辑到公共逻辑</w:t>
      </w:r>
    </w:p>
    <w:p w14:paraId="BB34771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default" w:ascii="楷体" w:hAnsi="楷体" w:eastAsia="楷体" w:cs="楷体"/>
          <w:sz w:val="21"/>
          <w:szCs w:val="21"/>
          <w:lang w:val="en-US"/>
        </w:rPr>
      </w:pPr>
      <w:r>
        <w:rPr>
          <w:rFonts w:hint="eastAsia" w:ascii="楷体" w:hAnsi="楷体" w:eastAsia="楷体" w:cs="楷体"/>
          <w:sz w:val="21"/>
          <w:szCs w:val="21"/>
        </w:rPr>
        <w:t>实现人工智能治理的社会化与公共化，需要回到马克思主义社会科学方法论的根本立场——以实践为出发点、以人民为中心、以社会整体性为分析单位。这一立场要求我们穿透技术表象，直指问题的结构性根源</w:t>
      </w:r>
      <w:r>
        <w:rPr>
          <w:rFonts w:hint="default" w:ascii="楷体" w:hAnsi="楷体" w:eastAsia="楷体" w:cs="楷体"/>
          <w:sz w:val="21"/>
          <w:szCs w:val="21"/>
          <w:lang w:val="en-US"/>
        </w:rPr>
        <w:t>。</w:t>
      </w:r>
    </w:p>
    <w:p w14:paraId="EDAFF7DE">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default" w:ascii="楷体" w:hAnsi="楷体" w:eastAsia="楷体" w:cs="楷体"/>
          <w:sz w:val="21"/>
          <w:szCs w:val="21"/>
          <w:lang w:val="en-US"/>
        </w:rPr>
      </w:pPr>
      <w:r>
        <w:rPr>
          <w:rFonts w:hint="default" w:ascii="楷体" w:hAnsi="楷体" w:eastAsia="楷体" w:cs="楷体"/>
          <w:sz w:val="21"/>
          <w:szCs w:val="21"/>
          <w:lang w:val="en-US"/>
        </w:rPr>
        <w:t>马克思主义方法论的第二个核心是矛盾分析法。马克思指出，一切社会形态的发展都源于内在矛盾的斗争与转化。在人工智能治理中，这种矛盾主要表现为资本逻辑与公共逻辑的对立。</w:t>
      </w:r>
      <w:r>
        <w:rPr>
          <w:rFonts w:hint="eastAsia" w:ascii="楷体" w:hAnsi="楷体" w:eastAsia="楷体" w:cs="楷体"/>
          <w:sz w:val="21"/>
          <w:szCs w:val="21"/>
        </w:rPr>
        <w:t>当前治理困境的“元问题”，在于资本逻辑对算法灵魂的“征用”——其内在的优化函数被预设为无限追求利润增值，从而与社会福祉的多元目标函数发生了系统性偏离与根本性冲突。</w:t>
      </w:r>
      <w:r>
        <w:rPr>
          <w:rFonts w:hint="default" w:ascii="楷体" w:hAnsi="楷体" w:eastAsia="楷体" w:cs="楷体"/>
          <w:sz w:val="21"/>
          <w:szCs w:val="21"/>
          <w:lang w:val="en-US"/>
        </w:rPr>
        <w:t>资本逻辑追求利润与效率，公共逻辑则追求公平与公共利益。当人工智能成为资本积累的新引擎时，算法和数据的控制权往往集中于少数平台企业，形成新的“数字垄断。</w:t>
      </w:r>
    </w:p>
    <w:p w14:paraId="38F8B3F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default" w:ascii="楷体" w:hAnsi="楷体" w:eastAsia="楷体" w:cs="楷体"/>
          <w:sz w:val="21"/>
          <w:szCs w:val="21"/>
          <w:lang w:val="en-US"/>
        </w:rPr>
      </w:pPr>
      <w:r>
        <w:rPr>
          <w:rFonts w:hint="default" w:ascii="楷体" w:hAnsi="楷体" w:eastAsia="楷体" w:cs="楷体"/>
          <w:sz w:val="21"/>
          <w:szCs w:val="21"/>
          <w:lang w:val="en-US"/>
        </w:rPr>
        <w:t>这种垄断不仅扭曲了技术创新的方向，也削弱了公共部门在治理中的话语权。数据的私有化使公共管理部门难以进行有效监督，算法的不透明则加剧了社会不平等。矛盾分析法要求我们认识到，这种张力并非不可调和，而是可以通过制度设计实现转化。政府在此过程中既要防止资本对算法资源的垄断，也要激发市场创新活力，在“效率与公平”的双重约束中寻求动态平衡。</w:t>
      </w:r>
    </w:p>
    <w:p w14:paraId="198C4F0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矛盾的本质是推动发展的动力。人工智能治理的公共化进程，正是通过对这种内在张力的制度性回应得以实现。马克思的方法论启示我们，治理者不能停留在技术监管的层面，而应当构建能够调节矛盾、实现利益协调的制度机制，使人工智能的发展能够在社会整体利益的框架下运行。</w:t>
      </w:r>
    </w:p>
    <w:p w14:paraId="E1B5F98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本文主张构建一种“公共逻辑”体系，使算法运作嵌入公共授权与社会监督之下，确保技术进步转化为公共价值。公共逻辑的四个核心维度包括</w:t>
      </w:r>
      <w:r>
        <w:rPr>
          <w:rFonts w:hint="eastAsia" w:ascii="楷体" w:hAnsi="楷体" w:eastAsia="楷体" w:cs="楷体"/>
          <w:b w:val="0"/>
          <w:sz w:val="21"/>
          <w:szCs w:val="21"/>
        </w:rPr>
        <w:t>公共价值导向；公共授权基础；公开问责机制；多层协同结构。</w:t>
      </w:r>
      <w:r>
        <w:rPr>
          <w:rFonts w:hint="eastAsia" w:ascii="楷体" w:hAnsi="楷体" w:eastAsia="楷体" w:cs="楷体"/>
          <w:sz w:val="21"/>
          <w:szCs w:val="21"/>
        </w:rPr>
        <w:t>这构成了后续制度设计——公共算法社会分红基金（ASDF）的理论基石。</w:t>
      </w:r>
    </w:p>
    <w:p w14:paraId="3D5D439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四、制度构想：公共算法社会分红基金（ASDF）模型</w:t>
      </w:r>
    </w:p>
    <w:p w14:paraId="47E5781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（一）公共逻辑的制度定义与内涵</w:t>
      </w:r>
    </w:p>
    <w:p w14:paraId="701C84E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在人工智能治理中，公共逻辑并非抽象的伦理口号，而是一种可制度化的社会运行方式。本文将其定义为：以社会整体福利最大化为目标，以权利与责任对等为约束，以公开透明和问责为程序条件，以多层次协同为组织结构的制度—价值复合体。其功能在于将数据与算法的运作置于公共授权与集体监督之下，使技术红利回流社会，实现公共价值的动态生成[11]。</w:t>
      </w:r>
    </w:p>
    <w:p w14:paraId="8304D28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公共逻辑的四个核心维度包括：</w:t>
      </w:r>
      <w:r>
        <w:rPr>
          <w:rFonts w:hint="eastAsia" w:ascii="楷体" w:hAnsi="楷体" w:eastAsia="楷体" w:cs="楷体"/>
          <w:b w:val="0"/>
          <w:sz w:val="21"/>
          <w:szCs w:val="21"/>
        </w:rPr>
        <w:t>目标性：以公共价值（公平、可及、包容、可持续）为治理目标；权威性：通过公共授权确立治理权，对资本权力形成制度制衡；程序性：以透明、参与和问责为基本治理程序；协同性：以国家、地方、行业、平台、公众的多层治理为组织方式。</w:t>
      </w:r>
    </w:p>
    <w:p w14:paraId="2486942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eastAsia="宋体"/>
          <w:lang w:eastAsia="zh-CN"/>
        </w:rPr>
      </w:pPr>
      <w:r>
        <w:rPr>
          <w:rFonts w:hint="eastAsia" w:ascii="楷体" w:hAnsi="楷体" w:eastAsia="楷体" w:cs="楷体"/>
          <w:sz w:val="21"/>
          <w:szCs w:val="21"/>
          <w:lang w:eastAsia="zh-CN"/>
        </w:rPr>
        <w:t>这一框架，是经典理论在数字时代的“施工图”。它不仅在思想上将马克思主义对社会的整体洞察，焊接于现代制度的设计之中；更在行动上，为“数据红利”如何惠及于民、“算法权力”如何接受民主监督，提供了实实在在的解决方案，让数据真正为人服务，而非成为异己的力量。</w:t>
      </w:r>
    </w:p>
    <w:p w14:paraId="E1A209C2">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（二）模型框架：ASDF的运行机制</w:t>
      </w:r>
    </w:p>
    <w:p w14:paraId="6E13FC3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为实现从资本逻辑到公共逻辑的制度转化，本文提出公共算法社会分红基金（Algorithmic Social Dividend Fund, ASDF）模型。该机制包括四个层级：</w:t>
      </w:r>
    </w:p>
    <w:p w14:paraId="CD1D770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2"/>
        <w:rPr>
          <w:rFonts w:hint="eastAsia" w:ascii="楷体" w:hAnsi="楷体" w:eastAsia="楷体" w:cs="楷体"/>
          <w:b w:val="0"/>
          <w:sz w:val="21"/>
          <w:szCs w:val="21"/>
        </w:rPr>
      </w:pPr>
      <w:r>
        <w:rPr>
          <w:rFonts w:hint="default" w:ascii="楷体" w:hAnsi="楷体" w:eastAsia="楷体" w:cs="楷体"/>
          <w:b w:val="0"/>
          <w:sz w:val="21"/>
          <w:szCs w:val="21"/>
          <w:lang w:val="en-US"/>
        </w:rPr>
        <w:tab/>
      </w:r>
      <w:r>
        <w:rPr>
          <w:rFonts w:hint="eastAsia" w:ascii="楷体" w:hAnsi="楷体" w:eastAsia="楷体" w:cs="楷体"/>
          <w:b w:val="0"/>
          <w:sz w:val="21"/>
          <w:szCs w:val="21"/>
        </w:rPr>
        <w:t>1. 输入层：数据确权与授权机制</w:t>
      </w:r>
    </w:p>
    <w:p w14:paraId="BE4DC0B0">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以“公共数据权”为基础，将核心社会数据纳入国家与社会双监管体系，实现“原始数据不出域、数据可用不可见”的安全流通原则[12]。</w:t>
      </w:r>
    </w:p>
    <w:p w14:paraId="CE9E8B6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例如，上海的数据要素流通平台已探索“可用不可见”模式，确保数据可分析但不可复制。这为ASDF的底层运行提供了制度先例。</w:t>
      </w:r>
    </w:p>
    <w:p w14:paraId="F31F56E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2"/>
        <w:rPr>
          <w:rFonts w:hint="eastAsia" w:ascii="楷体" w:hAnsi="楷体" w:eastAsia="楷体" w:cs="楷体"/>
          <w:b w:val="0"/>
          <w:sz w:val="21"/>
          <w:szCs w:val="21"/>
        </w:rPr>
      </w:pPr>
      <w:r>
        <w:rPr>
          <w:rFonts w:hint="default" w:ascii="楷体" w:hAnsi="楷体" w:eastAsia="楷体" w:cs="楷体"/>
          <w:b w:val="0"/>
          <w:sz w:val="21"/>
          <w:szCs w:val="21"/>
          <w:lang w:val="en-US"/>
        </w:rPr>
        <w:tab/>
      </w:r>
      <w:r>
        <w:rPr>
          <w:rFonts w:hint="default" w:ascii="楷体" w:hAnsi="楷体" w:eastAsia="楷体" w:cs="楷体"/>
          <w:b w:val="0"/>
          <w:sz w:val="21"/>
          <w:szCs w:val="21"/>
          <w:lang w:val="en-US"/>
        </w:rPr>
        <w:tab/>
      </w:r>
      <w:r>
        <w:rPr>
          <w:rFonts w:hint="eastAsia" w:ascii="楷体" w:hAnsi="楷体" w:eastAsia="楷体" w:cs="楷体"/>
          <w:b w:val="0"/>
          <w:sz w:val="21"/>
          <w:szCs w:val="21"/>
        </w:rPr>
        <w:t>2. 过程层：算法影响评估（AIA）与公共价值评估（AI-PVI）</w:t>
      </w:r>
    </w:p>
    <w:p w14:paraId="447535DE">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在算法部署前进行AIA前置评估，明确社会风险、受益人群与可替代方案；在运行过程中运用AI-PVI评估其公共价值表现。</w:t>
      </w:r>
    </w:p>
    <w:p w14:paraId="FA12481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指标包括公平性、透明度、社会可及性、文化包容度与可持续性等五个维度。算法如在某一维度持续偏离，应触发纠偏机制与收益调节。</w:t>
      </w:r>
    </w:p>
    <w:p w14:paraId="E98347E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2"/>
        <w:rPr>
          <w:rFonts w:hint="eastAsia" w:ascii="楷体" w:hAnsi="楷体" w:eastAsia="楷体" w:cs="楷体"/>
          <w:b w:val="0"/>
          <w:sz w:val="21"/>
          <w:szCs w:val="21"/>
        </w:rPr>
      </w:pPr>
      <w:r>
        <w:rPr>
          <w:rFonts w:hint="default" w:ascii="楷体" w:hAnsi="楷体" w:eastAsia="楷体" w:cs="楷体"/>
          <w:b w:val="0"/>
          <w:sz w:val="21"/>
          <w:szCs w:val="21"/>
          <w:lang w:val="en-US"/>
        </w:rPr>
        <w:tab/>
      </w:r>
      <w:r>
        <w:rPr>
          <w:rFonts w:hint="eastAsia" w:ascii="楷体" w:hAnsi="楷体" w:eastAsia="楷体" w:cs="楷体"/>
          <w:b w:val="0"/>
          <w:sz w:val="21"/>
          <w:szCs w:val="21"/>
        </w:rPr>
        <w:t>3. 分红层：社会红利回流机制</w:t>
      </w:r>
    </w:p>
    <w:p w14:paraId="AEBC878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以算法企业的超额利润为基础征收“算法红利税”，注入ASDF基金。基金重点投入数字教育、再就业培训、数据劳动保护与社会保障等领域，从制度层面将资本收益重新分配给社会。</w:t>
      </w:r>
    </w:p>
    <w:p w14:paraId="968D06F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类似机制可参考阿拉斯加永久基金与欧盟“数字税”制度，但ASDF更侧重社会结构调节，而非简单财政分配。</w:t>
      </w:r>
    </w:p>
    <w:p w14:paraId="26E618C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2"/>
        <w:rPr>
          <w:rFonts w:hint="eastAsia" w:ascii="楷体" w:hAnsi="楷体" w:eastAsia="楷体" w:cs="楷体"/>
          <w:b w:val="0"/>
          <w:sz w:val="21"/>
          <w:szCs w:val="21"/>
        </w:rPr>
      </w:pPr>
      <w:r>
        <w:rPr>
          <w:rFonts w:hint="default" w:ascii="楷体" w:hAnsi="楷体" w:eastAsia="楷体" w:cs="楷体"/>
          <w:b w:val="0"/>
          <w:sz w:val="21"/>
          <w:szCs w:val="21"/>
          <w:lang w:val="en-US"/>
        </w:rPr>
        <w:tab/>
      </w:r>
      <w:r>
        <w:rPr>
          <w:rFonts w:hint="eastAsia" w:ascii="楷体" w:hAnsi="楷体" w:eastAsia="楷体" w:cs="楷体"/>
          <w:b w:val="0"/>
          <w:sz w:val="21"/>
          <w:szCs w:val="21"/>
        </w:rPr>
        <w:t>4. 反馈层：公共参与与动态治理机制</w:t>
      </w:r>
    </w:p>
    <w:p w14:paraId="084E0B5E">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建立公众评议会与算法听证制度，使公民、学术界、社会组织共同参与治理过程；通过开放的反馈通道与年度绩效复评，实现“社会监督—制度纠偏—公共再授权”的循环。</w:t>
      </w:r>
    </w:p>
    <w:p w14:paraId="FFFC40E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（三）地方化实践：实验区与政策嵌入</w:t>
      </w:r>
    </w:p>
    <w:p w14:paraId="333D238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eastAsia="宋体"/>
          <w:lang w:eastAsia="zh-CN"/>
        </w:rPr>
      </w:pPr>
      <w:r>
        <w:rPr>
          <w:rFonts w:hint="eastAsia" w:ascii="楷体" w:hAnsi="楷体" w:eastAsia="楷体" w:cs="楷体"/>
          <w:sz w:val="21"/>
          <w:szCs w:val="21"/>
          <w:lang w:eastAsia="zh-CN"/>
        </w:rPr>
        <w:t>ASDF的全面推行应当遵循由点到面、循序渐进的实施路径，建议采取“三步走“的稳妥推进策略：首先选择具有代表性的区域开展小范围试点，通过局部试验积累实践经验；其次在试点成功的基础上逐步扩大实施范围，分阶段向周边地区延伸推广；最后待条件成熟时在全国范围内全面铺开，实现从局部探索到整体推进的平稳过渡。这种分步骤、渐进式的推广方式既能够控制风险，又有利于及时调整完善实施方案。</w:t>
      </w:r>
    </w:p>
    <w:p w14:paraId="A35C2732">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1.</w:t>
      </w:r>
      <w:r>
        <w:rPr>
          <w:rFonts w:hint="eastAsia" w:ascii="楷体" w:hAnsi="楷体" w:eastAsia="楷体" w:cs="楷体"/>
          <w:sz w:val="21"/>
          <w:szCs w:val="21"/>
          <w:lang w:eastAsia="zh-CN"/>
        </w:rPr>
        <w:t xml:space="preserve"> 制度沙盒创新试点：为探索数字经济的规范化发展路径，与其坐而论道，不如起而行之。建议在北京、深圳、杭州等具有这些数字经济的“先锋城市”设立“算法治理实验区</w:t>
      </w:r>
      <w:r>
        <w:rPr>
          <w:rFonts w:hint="default" w:ascii="楷体" w:hAnsi="楷体" w:eastAsia="楷体" w:cs="楷体"/>
          <w:sz w:val="21"/>
          <w:szCs w:val="21"/>
          <w:lang w:val="en-US" w:eastAsia="zh-CN"/>
        </w:rPr>
        <w:t>”</w:t>
      </w:r>
      <w:r>
        <w:rPr>
          <w:rFonts w:hint="eastAsia" w:ascii="楷体" w:hAnsi="楷体" w:eastAsia="楷体" w:cs="楷体"/>
          <w:sz w:val="21"/>
          <w:szCs w:val="21"/>
          <w:lang w:eastAsia="zh-CN"/>
        </w:rPr>
        <w:t>。建议在北京、深圳、杭州等数字创新高地，率先设立 “算法治理综合改革试验区” 。</w:t>
      </w:r>
      <w:r>
        <w:rPr>
          <w:rFonts w:hint="default" w:ascii="楷体" w:hAnsi="楷体" w:eastAsia="楷体" w:cs="楷体"/>
          <w:sz w:val="21"/>
          <w:szCs w:val="21"/>
          <w:lang w:val="en-US" w:eastAsia="zh-CN"/>
        </w:rPr>
        <w:t>就把ASDF系统实实在在地接入地方的“钱袋子”（财政预算）和“安全网”（社会保障体系）里</w:t>
      </w:r>
      <w:r>
        <w:rPr>
          <w:rFonts w:hint="eastAsia" w:ascii="楷体" w:hAnsi="楷体" w:eastAsia="楷体" w:cs="楷体"/>
          <w:sz w:val="21"/>
          <w:szCs w:val="21"/>
          <w:lang w:eastAsia="zh-CN"/>
        </w:rPr>
        <w:t>开展为期2-3年的全周期政策实验。</w:t>
      </w:r>
      <w:r>
        <w:rPr>
          <w:rFonts w:hint="default" w:ascii="楷体" w:hAnsi="楷体" w:eastAsia="楷体" w:cs="楷体"/>
          <w:sz w:val="21"/>
          <w:szCs w:val="21"/>
          <w:lang w:val="en-US" w:eastAsia="zh-CN"/>
        </w:rPr>
        <w:t>这就像一片精心规划的“政策试验田”，目标很明确：摸清ASDF的真实脾气，看看它到底能产生什么样的社会效果，为将来在全国铺开，踏出一条靠谱的路来。</w:t>
      </w:r>
    </w:p>
    <w:p w14:paraId="451CDD1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eastAsia="宋体"/>
          <w:lang w:eastAsia="zh-CN"/>
        </w:rPr>
      </w:pPr>
      <w:r>
        <w:rPr>
          <w:rFonts w:hint="eastAsia" w:ascii="楷体" w:hAnsi="楷体" w:eastAsia="楷体" w:cs="楷体"/>
          <w:sz w:val="21"/>
          <w:szCs w:val="21"/>
          <w:lang w:eastAsia="zh-CN"/>
        </w:rPr>
        <w:t>2. 数据共益计划实施方案：</w:t>
      </w:r>
      <w:r>
        <w:rPr>
          <w:rFonts w:hint="default" w:ascii="楷体" w:hAnsi="楷体" w:eastAsia="楷体" w:cs="楷体"/>
          <w:sz w:val="21"/>
          <w:szCs w:val="21"/>
          <w:lang w:val="en-US" w:eastAsia="zh-CN"/>
        </w:rPr>
        <w:t>数据是新时代的“石油”，但我们每个人不该只是被采油的“土地”。是时候建立一个 “数据红利账户”体系了。</w:t>
      </w:r>
      <w:r>
        <w:rPr>
          <w:rFonts w:hint="eastAsia" w:ascii="楷体" w:hAnsi="楷体" w:eastAsia="楷体" w:cs="楷体"/>
          <w:sz w:val="21"/>
          <w:szCs w:val="21"/>
          <w:lang w:eastAsia="zh-CN"/>
        </w:rPr>
        <w:t>建议由各地方政府牵头，联合金融机构和科技企业，共同构建“数据红利账户“体系。该计划允许居民在保障数据安全和隐私的前提下，自愿授权分享其产生的部分数据价值收益。通过智能合约和区块链技术，</w:t>
      </w:r>
      <w:r>
        <w:rPr>
          <w:rFonts w:hint="default" w:ascii="楷体" w:hAnsi="楷体" w:eastAsia="楷体" w:cs="楷体"/>
          <w:sz w:val="21"/>
          <w:szCs w:val="21"/>
          <w:lang w:val="en-US" w:eastAsia="zh-CN"/>
        </w:rPr>
        <w:t>让数据产生的收益自动、透明地分到居民账户里。</w:t>
      </w:r>
      <w:r>
        <w:rPr>
          <w:rFonts w:hint="eastAsia" w:ascii="楷体" w:hAnsi="楷体" w:eastAsia="楷体" w:cs="楷体"/>
          <w:sz w:val="21"/>
          <w:szCs w:val="21"/>
          <w:lang w:eastAsia="zh-CN"/>
        </w:rPr>
        <w:t>使每位数据贡献者都能获得与其数据价值相匹配的经济回报，从而建立起个体与社会之间基于数据要素的新型互惠关系。</w:t>
      </w:r>
    </w:p>
    <w:p w14:paraId="28A95A5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eastAsia="宋体"/>
          <w:lang w:eastAsia="zh-CN"/>
        </w:rPr>
      </w:pPr>
      <w:r>
        <w:rPr>
          <w:rFonts w:hint="eastAsia" w:ascii="楷体" w:hAnsi="楷体" w:eastAsia="楷体" w:cs="楷体"/>
          <w:sz w:val="21"/>
          <w:szCs w:val="21"/>
          <w:lang w:eastAsia="zh-CN"/>
        </w:rPr>
        <w:t>3. 立法保障与制度固化：</w:t>
      </w:r>
      <w:r>
        <w:rPr>
          <w:rFonts w:hint="default" w:ascii="楷体" w:hAnsi="楷体" w:eastAsia="楷体" w:cs="楷体"/>
          <w:sz w:val="21"/>
          <w:szCs w:val="21"/>
          <w:lang w:val="en-US" w:eastAsia="zh-CN"/>
        </w:rPr>
        <w:t>任何创新要想行稳致远，都不能一直在“试点”里打转，必须要有法律的“铠甲”和保护。当务之急，是在国家层面推动 《算法治理法》和《数据分红条例》 的出台</w:t>
      </w:r>
      <w:r>
        <w:rPr>
          <w:rFonts w:hint="eastAsia" w:ascii="楷体" w:hAnsi="楷体" w:eastAsia="楷体" w:cs="楷体"/>
          <w:sz w:val="21"/>
          <w:szCs w:val="21"/>
          <w:lang w:eastAsia="zh-CN"/>
        </w:rPr>
        <w:t>，通过法律形式明确ASDF系统的运行规范、监管要求和实施标准</w:t>
      </w:r>
      <w:r>
        <w:rPr>
          <w:rFonts w:hint="default" w:ascii="楷体" w:hAnsi="楷体" w:eastAsia="楷体" w:cs="楷体"/>
          <w:sz w:val="21"/>
          <w:szCs w:val="21"/>
          <w:lang w:val="en-US" w:eastAsia="zh-CN"/>
        </w:rPr>
        <w:t>实施，把它提升为国家社会政策顶层设计中的关键一环。</w:t>
      </w:r>
      <w:r>
        <w:rPr>
          <w:rFonts w:hint="eastAsia" w:ascii="楷体" w:hAnsi="楷体" w:eastAsia="楷体" w:cs="楷体"/>
          <w:sz w:val="21"/>
          <w:szCs w:val="21"/>
          <w:lang w:eastAsia="zh-CN"/>
        </w:rPr>
        <w:t>确保其在促进社会财富分配、维护数字权益等方面的基础性地位。</w:t>
      </w:r>
      <w:r>
        <w:rPr>
          <w:rFonts w:hint="default" w:ascii="楷体" w:hAnsi="楷体" w:eastAsia="楷体" w:cs="楷体"/>
          <w:sz w:val="21"/>
          <w:szCs w:val="21"/>
          <w:lang w:val="en-US" w:eastAsia="zh-CN"/>
        </w:rPr>
        <w:t>同时，配套的监管细则和运行机制也得同步跟上，为这套系统的长期稳定运行，打下坚如磐石的制度地基。</w:t>
      </w:r>
    </w:p>
    <w:p w14:paraId="B56702D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五、比较与借鉴：跨领域公共分红机制的启示</w:t>
      </w:r>
    </w:p>
    <w:p w14:paraId="4558939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其实，怎么公平地分“红利”这事儿，人工智能领域不是独一份。看看过去的自然资源、知识产权，我们都面临过类似的考题。别的领域的成功经验，正好能给设计ASDF带来灵感和底气。</w:t>
      </w:r>
    </w:p>
    <w:p w14:paraId="7C25BC42">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（一）挪威石油基金的跨代际共享机制</w:t>
      </w:r>
    </w:p>
    <w:p w14:paraId="0F15A00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挪威政府养老金（全球基金）是主权财富基金管理的光辉典范。其成功并非偶然，而是源于一套精密设计的制度体系。</w:t>
      </w:r>
    </w:p>
    <w:p w14:paraId="2AA9FF6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首先，它建立在清晰的公共授权之上，即国家资源属于全体国民，其收益应服务于当代与后代的共同福祉。其次，其透明治理机制是全球标杆：基金的管理策略、持仓明细、投资回报均向公众完全开放，并接受立法机构的严格监督</w:t>
      </w:r>
      <w:r>
        <w:rPr>
          <w:rFonts w:hint="default" w:ascii="楷体" w:hAnsi="楷体" w:eastAsia="楷体" w:cs="楷体"/>
          <w:sz w:val="21"/>
          <w:szCs w:val="21"/>
          <w:lang w:val="en-US"/>
        </w:rPr>
        <w:t>。“放在阳光底下”，是赢得长期信任的不二法门。</w:t>
      </w:r>
      <w:r>
        <w:rPr>
          <w:rFonts w:hint="eastAsia" w:ascii="楷体" w:hAnsi="楷体" w:eastAsia="楷体" w:cs="楷体"/>
          <w:sz w:val="21"/>
          <w:szCs w:val="21"/>
        </w:rPr>
        <w:t>最后，其核心在于跨代平衡理念：政府仅将基金预期年回报率（通常设定为3%）的一部分用于年度财政预算，严格限制对本金的动用</w:t>
      </w:r>
      <w:r>
        <w:rPr>
          <w:rFonts w:hint="default" w:ascii="楷体" w:hAnsi="楷体" w:eastAsia="楷体" w:cs="楷体"/>
          <w:sz w:val="21"/>
          <w:szCs w:val="21"/>
          <w:lang w:val="en-US"/>
        </w:rPr>
        <w:t>。这就确保了这笔财富能穿越政治和经济的风浪，成为一笔真正的“子孙粮”。</w:t>
      </w:r>
    </w:p>
    <w:p w14:paraId="0C4728A9">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借鉴此思路，</w:t>
      </w:r>
      <w:r>
        <w:rPr>
          <w:rFonts w:hint="default" w:ascii="楷体" w:hAnsi="楷体" w:eastAsia="楷体" w:cs="楷体"/>
          <w:sz w:val="21"/>
          <w:szCs w:val="21"/>
          <w:lang w:val="en-US"/>
        </w:rPr>
        <w:t>通过制度设计，转化成一份实实在在、能为子孙后代负责的社会长期资本</w:t>
      </w:r>
      <w:r>
        <w:rPr>
          <w:rFonts w:hint="eastAsia" w:ascii="楷体" w:hAnsi="楷体" w:eastAsia="楷体" w:cs="楷体"/>
          <w:sz w:val="21"/>
          <w:szCs w:val="21"/>
        </w:rPr>
        <w:t>。这意味着，ASDF不应是一个短期的补贴池，而应是一个以百年计的战略性基金。通过立法明确其法人地位与资金注入规则，并建立季度与年度的公开报告制度，详细披露资金池规模、投资去向及社会收益项目，</w:t>
      </w:r>
      <w:r>
        <w:rPr>
          <w:rFonts w:hint="default" w:ascii="楷体" w:hAnsi="楷体" w:eastAsia="楷体" w:cs="楷体"/>
          <w:sz w:val="21"/>
          <w:szCs w:val="21"/>
          <w:lang w:val="en-US"/>
        </w:rPr>
        <w:t>从而把看不见、摸不着的“算法红利”，</w:t>
      </w:r>
    </w:p>
    <w:p w14:paraId="4B7E8D7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1"/>
          <w:szCs w:val="21"/>
        </w:rPr>
        <w:t>（二）阿拉斯加永久基金的普惠性分配</w:t>
      </w:r>
    </w:p>
    <w:p w14:paraId="2FB8DC9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eastAsia" w:ascii="楷体" w:hAnsi="楷体" w:eastAsia="楷体" w:cs="楷体"/>
          <w:sz w:val="21"/>
          <w:szCs w:val="21"/>
        </w:rPr>
      </w:pPr>
      <w:r>
        <w:rPr>
          <w:rFonts w:hint="eastAsia" w:ascii="楷体" w:hAnsi="楷体" w:eastAsia="楷体" w:cs="楷体"/>
          <w:sz w:val="21"/>
          <w:szCs w:val="21"/>
        </w:rPr>
        <w:t>与挪威模式侧重</w:t>
      </w:r>
      <w:r>
        <w:rPr>
          <w:rFonts w:hint="default" w:ascii="楷体" w:hAnsi="楷体" w:eastAsia="楷体" w:cs="楷体"/>
          <w:sz w:val="21"/>
          <w:szCs w:val="21"/>
          <w:lang w:val="en-US"/>
        </w:rPr>
        <w:t>长线</w:t>
      </w:r>
      <w:r>
        <w:rPr>
          <w:rFonts w:hint="eastAsia" w:ascii="楷体" w:hAnsi="楷体" w:eastAsia="楷体" w:cs="楷体"/>
          <w:sz w:val="21"/>
          <w:szCs w:val="21"/>
        </w:rPr>
        <w:t>不同</w:t>
      </w:r>
      <w:r>
        <w:rPr>
          <w:rFonts w:hint="default" w:ascii="楷体" w:hAnsi="楷体" w:eastAsia="楷体" w:cs="楷体"/>
          <w:sz w:val="21"/>
          <w:szCs w:val="21"/>
          <w:lang w:val="en-US"/>
        </w:rPr>
        <w:t>，美国阿拉斯加州选择了一种更直接的方式：把石油收入的一部分，以现金形式直接分给每一个符合条件的居民。</w:t>
      </w:r>
      <w:r>
        <w:rPr>
          <w:rFonts w:hint="eastAsia" w:ascii="楷体" w:hAnsi="楷体" w:eastAsia="楷体" w:cs="楷体"/>
          <w:sz w:val="21"/>
          <w:szCs w:val="21"/>
        </w:rPr>
        <w:t>这一机制不仅直接增加了居民收入、减少了贫困，更在观念上塑造了强烈的公民身份认同</w:t>
      </w:r>
      <w:r>
        <w:rPr>
          <w:rFonts w:hint="default" w:ascii="楷体" w:hAnsi="楷体" w:eastAsia="楷体" w:cs="楷体"/>
          <w:sz w:val="21"/>
          <w:szCs w:val="21"/>
          <w:lang w:val="en-US"/>
        </w:rPr>
        <w:t>——“我是这片土地的共同主人，我有权分享它的收益”。</w:t>
      </w:r>
    </w:p>
    <w:p w14:paraId="4EFD73C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eastAsia" w:ascii="楷体" w:hAnsi="楷体" w:eastAsia="楷体" w:cs="楷体"/>
          <w:sz w:val="21"/>
          <w:szCs w:val="21"/>
        </w:rPr>
      </w:pPr>
      <w:r>
        <w:rPr>
          <w:rFonts w:hint="eastAsia" w:ascii="楷体" w:hAnsi="楷体" w:eastAsia="楷体" w:cs="楷体"/>
          <w:sz w:val="21"/>
          <w:szCs w:val="21"/>
        </w:rPr>
        <w:t>对于ASDF而言，此举具有革命性的启示意义。我们可在其架构中专门设立“社会分红账户”。部分算法收益，特别是那些源于对公共数据资源利用而产生的超额利润，应被核算并注入该账户。随后，通过数字身份系统，直接将收益分配给符合条件的数字劳动者和普通公民。这一做法，不仅在经济学意义上实现了收入的再分配，更在政治与社会学意义上</w:t>
      </w:r>
      <w:r>
        <w:rPr>
          <w:rFonts w:hint="default" w:ascii="楷体" w:hAnsi="楷体" w:eastAsia="楷体" w:cs="楷体"/>
          <w:sz w:val="21"/>
          <w:szCs w:val="21"/>
          <w:lang w:val="en-US"/>
        </w:rPr>
        <w:t>宣告和构建一种新型权利——“数据公民权”：我产生的数据价值，我有权享受。</w:t>
      </w:r>
    </w:p>
    <w:p w14:paraId="6DBE9609">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1"/>
          <w:szCs w:val="21"/>
        </w:rPr>
        <w:t>（三）欧盟数字税与加拿大AIA机制的融合思路</w:t>
      </w:r>
    </w:p>
    <w:p w14:paraId="7B319CE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eastAsia" w:ascii="楷体" w:hAnsi="楷体" w:eastAsia="楷体" w:cs="楷体"/>
          <w:sz w:val="21"/>
          <w:szCs w:val="21"/>
        </w:rPr>
      </w:pPr>
      <w:r>
        <w:rPr>
          <w:rFonts w:hint="default" w:ascii="楷体" w:hAnsi="楷体" w:eastAsia="楷体" w:cs="楷体"/>
          <w:sz w:val="21"/>
          <w:szCs w:val="21"/>
          <w:lang w:val="en-US"/>
        </w:rPr>
        <w:t>只学一家难免片面，把不同模式的优点融合起来，往往能产生1+1&gt;2的效果。</w:t>
      </w:r>
    </w:p>
    <w:p w14:paraId="DF64199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default" w:ascii="楷体" w:hAnsi="楷体" w:eastAsia="楷体" w:cs="楷体"/>
          <w:sz w:val="21"/>
          <w:szCs w:val="21"/>
          <w:lang w:val="en-US"/>
        </w:rPr>
      </w:pPr>
      <w:r>
        <w:rPr>
          <w:rFonts w:hint="default" w:ascii="楷体" w:hAnsi="楷体" w:eastAsia="楷体" w:cs="楷体"/>
          <w:sz w:val="21"/>
          <w:szCs w:val="21"/>
          <w:lang w:val="en-US"/>
        </w:rPr>
        <w:t>比如，欧盟开征“数字服务税”，其核心是重申社会责任：数字巨头们不能只享受我们社会带来的市场和教育红利，却不反哺社会基础，必须为它们所依托的这片土壤做出公平贡献。</w:t>
      </w:r>
    </w:p>
    <w:p w14:paraId="9B4CFAE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eastAsia" w:ascii="楷体" w:hAnsi="楷体" w:eastAsia="楷体" w:cs="楷体"/>
          <w:sz w:val="21"/>
          <w:szCs w:val="21"/>
        </w:rPr>
      </w:pPr>
      <w:r>
        <w:rPr>
          <w:rFonts w:hint="default" w:ascii="楷体" w:hAnsi="楷体" w:eastAsia="楷体" w:cs="楷体"/>
          <w:sz w:val="21"/>
          <w:szCs w:val="21"/>
          <w:lang w:val="en-US"/>
        </w:rPr>
        <w:t>但光收钱还不够，怎么花好这笔钱是关键。这时，加拿大的“算法影响评估（AIA）”机制就派上了用场。它强制要求政府在用AI做决策前，必须进行公开的风险评估并征求公众意见，保证了过程的透明和问责。</w:t>
      </w:r>
    </w:p>
    <w:p w14:paraId="59E08AE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0"/>
        <w:jc w:val="left"/>
        <w:textAlignment w:val="auto"/>
        <w:outlineLvl w:val="0"/>
        <w:rPr>
          <w:rFonts w:hint="eastAsia" w:ascii="楷体" w:hAnsi="楷体" w:eastAsia="楷体" w:cs="楷体"/>
          <w:sz w:val="21"/>
          <w:szCs w:val="21"/>
        </w:rPr>
      </w:pPr>
      <w:r>
        <w:rPr>
          <w:rFonts w:hint="default" w:ascii="楷体" w:hAnsi="楷体" w:eastAsia="楷体" w:cs="楷体"/>
          <w:sz w:val="21"/>
          <w:szCs w:val="21"/>
          <w:lang w:val="en-US"/>
        </w:rPr>
        <w:t>我们可以把这两者结合起来：用“数字服务税”的逻辑让平台承担责任、筹集资金，再用“算法影响评估”的程序来确保这笔钱能被公正、透明地用于公共福祉。</w:t>
      </w:r>
      <w:r>
        <w:rPr>
          <w:rFonts w:hint="eastAsia" w:ascii="楷体" w:hAnsi="楷体" w:eastAsia="楷体" w:cs="楷体"/>
          <w:sz w:val="21"/>
          <w:szCs w:val="21"/>
        </w:rPr>
        <w:t>在两者之间架设一座桥梁，形成一个“收益回流—社会评估—动态分配”的精密闭环。具体而言，可以借鉴“数字税”原理，确立向大型算法平台征收专项收益的方案，以此形成ASDF的初始与持续资金池。然后，将加拿大的AIA机制改造为ASDF资金使用的核心治理环节：任何重大的资金分配或社会投资项目，都必须事先通过一个公开的、参与式的“社会影响评估”，广泛征集公众、社区与专家意见，确保资金投向最能回应社会迫切需求、最符合公共利益的领域。这一闭环设计，确保了ASDF不仅是一个资金池，更是一个集融资、评估、决策与分配于一体的现代化、民主化治理系统。</w:t>
      </w:r>
    </w:p>
    <w:p w14:paraId="77CD126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六、政策路径：从实验治理到制度定型</w:t>
      </w:r>
    </w:p>
    <w:p w14:paraId="64C0895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lang w:eastAsia="zh-CN"/>
        </w:rPr>
      </w:pPr>
      <w:r>
        <w:rPr>
          <w:rFonts w:hint="eastAsia" w:ascii="楷体" w:hAnsi="楷体" w:eastAsia="楷体" w:cs="楷体"/>
          <w:sz w:val="21"/>
          <w:szCs w:val="21"/>
          <w:lang w:eastAsia="zh-CN"/>
        </w:rPr>
        <w:t>制度创新的实现需要构建完整的理论指导—政策设计—实践执行三重支撑体系。制度变革必须落实于社会实践。马克思主义方法论强调“从实践到认识，再回到实践”的循环逻辑。人工智能治理的实践转型应以社会参与为核心，使治理成为一种“自我调节的社会实践”而非单向行政操作。</w:t>
      </w:r>
    </w:p>
    <w:p w14:paraId="FE7BC76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（一）立法先行：</w:t>
      </w:r>
      <w:r>
        <w:rPr>
          <w:rFonts w:hint="default" w:ascii="楷体" w:hAnsi="楷体" w:eastAsia="楷体" w:cs="楷体"/>
          <w:b/>
          <w:bCs/>
          <w:sz w:val="21"/>
          <w:szCs w:val="21"/>
          <w:lang w:val="en-US"/>
        </w:rPr>
        <w:t>为算法注入“社会责任”的基因</w:t>
      </w:r>
    </w:p>
    <w:p w14:paraId="7E81DB8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我们不能再等待。必须在现有《数据要素制度》与《算法管理规定》的基础上，果断增设 “算法红利社会回馈”的强制性条款，从法律上明确企业必须为其算法产生的社会影响——无论是收益还是风险承担责任。</w:t>
      </w:r>
    </w:p>
    <w:p w14:paraId="C32EF76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这项立法的理论之锚，应深扎于马克思的“社会劳动再分配理论”之中，从根本上明确算法收益的社会属性和公共使用原则[13]。这不仅是条款的增设，更是在为算法的灵魂，注入公共性的导航系统。</w:t>
      </w:r>
    </w:p>
    <w:p w14:paraId="937CE6C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（二）财政激励</w:t>
      </w:r>
      <w:r>
        <w:rPr>
          <w:rFonts w:hint="default" w:ascii="楷体" w:hAnsi="楷体" w:eastAsia="楷体" w:cs="楷体"/>
          <w:b/>
          <w:bCs/>
          <w:sz w:val="21"/>
          <w:szCs w:val="21"/>
          <w:lang w:val="en-US"/>
        </w:rPr>
        <w:t>：让资本流向“公共价值”的田野</w:t>
      </w:r>
    </w:p>
    <w:p w14:paraId="E41340A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好的制度，应善于引导。我们建议建立一套 “公共价值指数” ，像一把公正的尺子，衡量企业的算法行为。得分高的企业，将在税收和信贷上获得“绿灯”激励；而那些只顾攫取超额利润、罔顾社会影响的企业，则必须缴纳 “算法调节税”。</w:t>
      </w:r>
    </w:p>
    <w:p w14:paraId="79BB65C2">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这一模式不仅能调节收入分配，更是一套精巧的信号系统，引导资本从“利润最大化”的单一赛道，转向“社会价值最大化”的广阔田野。</w:t>
      </w:r>
      <w:r>
        <w:rPr>
          <w:rFonts w:hint="eastAsia" w:ascii="楷体" w:hAnsi="楷体" w:eastAsia="楷体" w:cs="楷体"/>
          <w:sz w:val="21"/>
          <w:szCs w:val="21"/>
        </w:rPr>
        <w:t>。</w:t>
      </w:r>
    </w:p>
    <w:p w14:paraId="6A3E5C9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（三）国际协作</w:t>
      </w:r>
      <w:r>
        <w:rPr>
          <w:rFonts w:hint="default" w:ascii="楷体" w:hAnsi="楷体" w:eastAsia="楷体" w:cs="楷体"/>
          <w:b/>
          <w:bCs/>
          <w:sz w:val="21"/>
          <w:szCs w:val="21"/>
          <w:lang w:val="en-US"/>
        </w:rPr>
        <w:t>：在国际舞台输出“中国方案”</w:t>
      </w:r>
    </w:p>
    <w:p w14:paraId="4E328A3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算法治理无国界。中国应更积极地走入UNESCO、OECD等国际舞台，主动倡导制定 “全球算法红利共享协定” ，推动形成通行的透明与分红标准。</w:t>
      </w:r>
    </w:p>
    <w:p w14:paraId="DEAE3DE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sz w:val="21"/>
          <w:szCs w:val="21"/>
          <w:lang w:val="en-US"/>
        </w:rPr>
        <w:t>这既是一个负责任大国应有的担当，更是一次将我们的治理智慧转化为全球规则的战略机遇，是中国为构建人类数字命运共同体提交的制度答卷。</w:t>
      </w:r>
    </w:p>
    <w:p w14:paraId="DFFC52D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b/>
          <w:bCs/>
          <w:sz w:val="21"/>
          <w:szCs w:val="21"/>
        </w:rPr>
      </w:pPr>
      <w:r>
        <w:rPr>
          <w:rFonts w:hint="eastAsia" w:ascii="楷体" w:hAnsi="楷体" w:eastAsia="楷体" w:cs="楷体"/>
          <w:b/>
          <w:bCs/>
          <w:sz w:val="21"/>
          <w:szCs w:val="21"/>
        </w:rPr>
        <w:t>（四）</w:t>
      </w:r>
      <w:r>
        <w:rPr>
          <w:rFonts w:hint="default" w:ascii="楷体" w:hAnsi="楷体" w:eastAsia="楷体" w:cs="楷体"/>
          <w:b/>
          <w:bCs/>
          <w:sz w:val="21"/>
          <w:szCs w:val="21"/>
          <w:lang w:val="en-US"/>
        </w:rPr>
        <w:t>文化扎根：让“数字公德”成为社会共识</w:t>
      </w:r>
    </w:p>
    <w:p w14:paraId="16099755">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kern w:val="2"/>
          <w:sz w:val="21"/>
          <w:szCs w:val="21"/>
          <w:lang w:val="en-US" w:eastAsia="zh-CN" w:bidi="ar-SA"/>
        </w:rPr>
      </w:pPr>
      <w:r>
        <w:rPr>
          <w:rFonts w:hint="default" w:ascii="楷体" w:hAnsi="楷体" w:eastAsia="楷体" w:cs="楷体"/>
          <w:kern w:val="2"/>
          <w:sz w:val="21"/>
          <w:szCs w:val="21"/>
          <w:lang w:val="en-US" w:eastAsia="zh-CN" w:bidi="ar-SA"/>
        </w:rPr>
        <w:t>制度的持续性取决于文化认同。通过我们的教育体系，广泛培育算法伦理与数字公民意识，让“技术之上应有责任”成为一代人的文化基因。</w:t>
      </w:r>
    </w:p>
    <w:p w14:paraId="A8A6BB50">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default" w:ascii="楷体" w:hAnsi="楷体" w:eastAsia="楷体" w:cs="楷体"/>
          <w:kern w:val="2"/>
          <w:sz w:val="21"/>
          <w:szCs w:val="21"/>
          <w:lang w:val="en-US" w:eastAsia="zh-CN" w:bidi="ar-SA"/>
        </w:rPr>
        <w:t>只有当公共逻辑成为社会的“常识”，制度的生命力才能超越政策周期，获得永恒的文化根基</w:t>
      </w:r>
      <w:r>
        <w:rPr>
          <w:rFonts w:hint="default" w:ascii="楷体" w:hAnsi="楷体" w:eastAsia="楷体" w:cs="楷体"/>
          <w:b/>
          <w:bCs/>
          <w:sz w:val="21"/>
          <w:szCs w:val="21"/>
          <w:lang w:val="en-US"/>
        </w:rPr>
        <w:t>。</w:t>
      </w:r>
    </w:p>
    <w:p w14:paraId="2F1CE9F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left"/>
        <w:textAlignment w:val="auto"/>
        <w:outlineLvl w:val="0"/>
        <w:rPr>
          <w:rFonts w:hint="eastAsia" w:ascii="楷体" w:hAnsi="楷体" w:eastAsia="楷体" w:cs="楷体"/>
          <w:sz w:val="21"/>
          <w:szCs w:val="21"/>
        </w:rPr>
      </w:pPr>
      <w:r>
        <w:rPr>
          <w:rFonts w:hint="eastAsia" w:ascii="楷体" w:hAnsi="楷体" w:eastAsia="楷体" w:cs="楷体"/>
          <w:b/>
          <w:bCs/>
          <w:sz w:val="24"/>
          <w:szCs w:val="24"/>
        </w:rPr>
        <w:t>七、结论与展望：让算法回归社会</w:t>
      </w:r>
    </w:p>
    <w:p w14:paraId="CB8B835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人工智能的发展正处在决定社会未来走向的关键节点。若不对资本逻辑加以制度约束，技术将进一步强化社会不平等。本文提出的公共算法社会分红基金（ASDF），</w:t>
      </w:r>
      <w:r>
        <w:rPr>
          <w:rFonts w:hint="default" w:ascii="楷体" w:hAnsi="楷体" w:eastAsia="楷体" w:cs="楷体"/>
          <w:sz w:val="21"/>
          <w:szCs w:val="21"/>
          <w:lang w:val="en-US"/>
        </w:rPr>
        <w:t>正是试图</w:t>
      </w:r>
      <w:r>
        <w:rPr>
          <w:rFonts w:hint="eastAsia" w:ascii="楷体" w:hAnsi="楷体" w:eastAsia="楷体" w:cs="楷体"/>
          <w:sz w:val="21"/>
          <w:szCs w:val="21"/>
        </w:rPr>
        <w:t>以马克思主义社会科学方法论为核心，试图回答</w:t>
      </w:r>
      <w:r>
        <w:rPr>
          <w:rFonts w:hint="default" w:ascii="楷体" w:hAnsi="楷体" w:eastAsia="楷体" w:cs="楷体"/>
          <w:sz w:val="21"/>
          <w:szCs w:val="21"/>
          <w:lang w:val="en-US"/>
        </w:rPr>
        <w:t>这一问题</w:t>
      </w:r>
      <w:r>
        <w:rPr>
          <w:rFonts w:hint="eastAsia" w:ascii="楷体" w:hAnsi="楷体" w:eastAsia="楷体" w:cs="楷体"/>
          <w:sz w:val="21"/>
          <w:szCs w:val="21"/>
        </w:rPr>
        <w:t>，使人工智能治理从“资本积累”转向“社会</w:t>
      </w:r>
      <w:r>
        <w:rPr>
          <w:rFonts w:hint="default" w:ascii="楷体" w:hAnsi="楷体" w:eastAsia="楷体" w:cs="楷体"/>
          <w:sz w:val="21"/>
          <w:szCs w:val="21"/>
          <w:lang w:val="en-US"/>
        </w:rPr>
        <w:t>共同富裕</w:t>
      </w:r>
      <w:r>
        <w:rPr>
          <w:rFonts w:hint="eastAsia" w:ascii="楷体" w:hAnsi="楷体" w:eastAsia="楷体" w:cs="楷体"/>
          <w:sz w:val="21"/>
          <w:szCs w:val="21"/>
        </w:rPr>
        <w:t>”。</w:t>
      </w:r>
    </w:p>
    <w:p w14:paraId="5ABDCF7A">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ASDF的意义不仅在于制度创新</w:t>
      </w:r>
      <w:r>
        <w:rPr>
          <w:rFonts w:hint="default" w:ascii="楷体" w:hAnsi="楷体" w:eastAsia="楷体" w:cs="楷体"/>
          <w:sz w:val="21"/>
          <w:szCs w:val="21"/>
          <w:lang w:val="en-US"/>
        </w:rPr>
        <w:t>设计，更是一次深刻的社会关系重塑</w:t>
      </w:r>
      <w:r>
        <w:rPr>
          <w:rFonts w:hint="eastAsia" w:ascii="楷体" w:hAnsi="楷体" w:eastAsia="楷体" w:cs="楷体"/>
          <w:sz w:val="21"/>
          <w:szCs w:val="21"/>
        </w:rPr>
        <w:t>。它通过数据确权、算法评估与社会分红，</w:t>
      </w:r>
      <w:r>
        <w:rPr>
          <w:rFonts w:hint="default" w:ascii="楷体" w:hAnsi="楷体" w:eastAsia="楷体" w:cs="楷体"/>
          <w:sz w:val="21"/>
          <w:szCs w:val="21"/>
          <w:lang w:val="en-US"/>
        </w:rPr>
        <w:t>在数字时代践行着马克思关于“生产资料社会化”与“劳动价值公共化”的构想。</w:t>
      </w:r>
    </w:p>
    <w:p w14:paraId="5A211A1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420" w:firstLineChars="200"/>
        <w:jc w:val="both"/>
        <w:textAlignment w:val="auto"/>
        <w:rPr>
          <w:rFonts w:hint="eastAsia" w:ascii="楷体" w:hAnsi="楷体" w:eastAsia="楷体" w:cs="楷体"/>
          <w:sz w:val="21"/>
          <w:szCs w:val="21"/>
        </w:rPr>
      </w:pPr>
      <w:r>
        <w:rPr>
          <w:rFonts w:hint="eastAsia" w:ascii="楷体" w:hAnsi="楷体" w:eastAsia="楷体" w:cs="楷体"/>
          <w:sz w:val="21"/>
          <w:szCs w:val="21"/>
        </w:rPr>
        <w:t>未来研究应继续深化ASDF的量化机制与地方实验评估，如探讨算法红利税的计量标准、公共价值指数的动态权重、分红基金的跨区域协同模式等。</w:t>
      </w:r>
      <w:r>
        <w:rPr>
          <w:rFonts w:hint="default" w:ascii="楷体" w:hAnsi="楷体" w:eastAsia="楷体" w:cs="楷体"/>
          <w:sz w:val="21"/>
          <w:szCs w:val="21"/>
          <w:lang w:val="en-US"/>
        </w:rPr>
        <w:t>但更宏大的愿景在于，在国际思潮中推动 “算法公共主义” 的理论崛起——让AI不再是资本驱动的冰冷工具，而成为我们社会共同体迈向更高阶段文明的、有温度的制度引擎。</w:t>
      </w:r>
    </w:p>
    <w:p w14:paraId="5CFDF33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4CEEF3A3">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54BF04B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33BDA781">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672B7D04">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3B144D0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4CE5CD1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6C901C0D">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p>
    <w:p w14:paraId="9FEBDBE6">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b/>
          <w:bCs/>
          <w:sz w:val="21"/>
          <w:szCs w:val="21"/>
        </w:rPr>
      </w:pPr>
      <w:r>
        <w:rPr>
          <w:rFonts w:hint="eastAsia" w:ascii="楷体" w:hAnsi="楷体" w:eastAsia="楷体" w:cs="楷体"/>
          <w:b/>
          <w:bCs/>
          <w:sz w:val="21"/>
          <w:szCs w:val="21"/>
        </w:rPr>
        <w:t>参考文献</w:t>
      </w:r>
    </w:p>
    <w:p w14:paraId="9535816F">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[1] 刘思远. 《人工智能驱动下数据要素资本化的内在机理与现实矛盾》. 中国社会科学评论, 2022.</w:t>
      </w:r>
    </w:p>
    <w:p w14:paraId="9C5B936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[2] Graham Murdock. Artificial Intelligence as Primitive Accumulation. Media, Culture &amp; Society, 2021.</w:t>
      </w:r>
    </w:p>
    <w:p w14:paraId="162775E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[3] UNESCO. Recommendation on the Ethics of Artificial Intelligence. 2021.</w:t>
      </w:r>
    </w:p>
    <w:p w14:paraId="62AB68CB">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[4] Reisman, D. Algorithmic Impact Assessments. Canada Treasury Board Secretariat, 2020.</w:t>
      </w:r>
    </w:p>
    <w:p w14:paraId="24A98629">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[5] 彭姝. 《论生成式治理中人的主体性建构：马克思主义的分析视角》. 当代马克思主义评论, 2023.</w:t>
      </w:r>
    </w:p>
    <w:p w14:paraId="7A3D440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[6] 李亚男. 《新质生产力与人本主义哲学的重构——马克思主义视角下的人类解放与全面发展》. 社会科学前沿, 2023.</w:t>
      </w:r>
    </w:p>
    <w:p w14:paraId="78FE2351">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[7] 张诗博. 《马克思的公共性思想及其对构建社会治理共同体的启示》. 马克思主义与现实, 2021.</w:t>
      </w:r>
    </w:p>
    <w:p w14:paraId="D25FC0F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[8] 林婷. 《马克思共同体思想对当下社会管理的启示》. 理论探讨, 2020.</w:t>
      </w:r>
    </w:p>
    <w:p w14:paraId="0D2DC5A0">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[9] 周怡君. 《马克思恩格斯公共管理思想初探》. 行政论坛, 2019.</w:t>
      </w:r>
    </w:p>
    <w:p w14:paraId="EFB89391">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[10] 王素玲. 《马克思主义社会管理思想及其启示意义》. 政治与社会发展, 2018.</w:t>
      </w:r>
    </w:p>
    <w:p w14:paraId="31419AC7">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[11] European Parliament. Artificial Intelligence Act. EU Official Journal, 2024.</w:t>
      </w:r>
    </w:p>
    <w:p w14:paraId="534E6EDC">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[12] 北京市互联网信息服务算法备案试点报告. 北京市网信办, 2023.</w:t>
      </w:r>
    </w:p>
    <w:p w14:paraId="110008D8">
      <w:pPr>
        <w:keepNext w:val="0"/>
        <w:keepLines w:val="0"/>
        <w:pageBreakBefore w:val="0"/>
        <w:widowControl w:val="0"/>
        <w:kinsoku/>
        <w:wordWrap/>
        <w:overflowPunct/>
        <w:topLinePunct w:val="0"/>
        <w:autoSpaceDE/>
        <w:autoSpaceDN/>
        <w:bidi w:val="0"/>
        <w:adjustRightInd/>
        <w:snapToGrid/>
        <w:spacing w:before="157" w:beforeLines="50" w:beforeAutospacing="0" w:afterAutospacing="0" w:line="240" w:lineRule="auto"/>
        <w:ind w:left="0" w:leftChars="0" w:right="0" w:rightChars="0" w:firstLine="0" w:firstLineChars="0"/>
        <w:jc w:val="both"/>
        <w:textAlignment w:val="auto"/>
        <w:rPr>
          <w:rFonts w:hint="eastAsia" w:ascii="楷体" w:hAnsi="楷体" w:eastAsia="楷体" w:cs="楷体"/>
          <w:sz w:val="21"/>
          <w:szCs w:val="21"/>
        </w:rPr>
      </w:pPr>
      <w:r>
        <w:rPr>
          <w:rFonts w:hint="eastAsia" w:ascii="楷体" w:hAnsi="楷体" w:eastAsia="楷体" w:cs="楷体"/>
          <w:sz w:val="21"/>
          <w:szCs w:val="21"/>
        </w:rPr>
        <w:t>[13] OECD. Framework for the Classification of AI Risks and Policy Responses. 2023.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D21F1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8418</Words>
  <Characters>9026</Characters>
  <Paragraphs>111</Paragraphs>
  <TotalTime>53</TotalTime>
  <ScaleCrop>false</ScaleCrop>
  <LinksUpToDate>false</LinksUpToDate>
  <CharactersWithSpaces>9144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2025-10-28T12:34:00Z</dcterms:created>
  <dc:creator>CGA-W00</dc:creator>
  <cp:lastModifiedBy>初十</cp:lastModifiedBy>
  <dcterms:modified xsi:type="dcterms:W3CDTF">2025-12-27T07:53:03Z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BCE0A1308D014BF19C0F47113CDA520B_13</vt:lpwstr>
  </property>
  <property fmtid="{D5CDD505-2E9C-101B-9397-08002B2CF9AE}" pid="3" name="KSOTemplateDocerSaveRecord">
    <vt:lpwstr>eyJoZGlkIjoiNGVmMjlhYjVkNjkxZmZlOTdlNWE2MGYwZjg1YjM4MzMiLCJ1c2VySWQiOiIxMjY4MzQ0NzQ5In0=</vt:lpwstr>
  </property>
  <property fmtid="{D5CDD505-2E9C-101B-9397-08002B2CF9AE}" pid="4" name="KSOProductBuildVer">
    <vt:lpwstr>2052-12.1.0.24034</vt:lpwstr>
  </property>
</Properties>
</file>