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《蕉内：借代言人之力讲好产品故事，实现品牌突围与发展》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以下是高度相关内容的提取，围绕蕉内用代言人讲好产品故事这一核心，从合作历程、品牌策略、创意表达、代言人运用等方面进行了整理：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蕉内与代言人合作历程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 年 6 月，官宣代言人周冬雨，并合作第一条品牌 TVC《我的基本款》，定义了什么是「蕉内基本款」的概念，同时展现了蕉内丰富多元的品类。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 年 10 月，官宣王一博加入代言人阵营，并推出《就这样，被绒化了》TVC，主推冬季绒绒家居服系列。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 3 月，和周冬雨二次合作，为「软支撑」文胸系列推出《软软有力量》TVC。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 4 月，邀来王一博与刘佩琦联袂出演《凉皮之夏》，主推防晒基本款「凉皮」系列。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品牌发展重点与策略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蕉内将近期发展的重点放在了深耕产品、扩张品类认知上。除了第一次 TVC 还在「定义蕉内基本款」阶段，后三次 TVC 都非常聚焦，没有过多强调品牌理念，而是从纯粹的产品故事出发，「一次只讲好一个品类」。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从两年前大众对蕉内的印象还主要在无感内衣产品，而 2021 年后蕉内则开始拓展大众家庭的消费场景。从成人到儿童，从内衣到家居服、轻户外成衣，甚至到浴巾、收纳等家庭场景下所需的基本款，都构成了蕉内拓展丰富品类的想象。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正因为蕉内聚焦「基本款」，每拓展一个品类，都要面对大量的已有竞争者。在其中想要突围，蕉内更需要有差异化的产品利益点，以及独辟蹊径的传播创意。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一次只讲好一个品类，做有记忆度的创意表达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讲好品类的定义</w:t>
      </w:r>
      <w:r>
        <w:rPr>
          <w:rFonts w:eastAsia="等线" w:ascii="Arial" w:cs="Arial" w:hAnsi="Arial"/>
          <w:sz w:val="22"/>
        </w:rPr>
        <w:t>：「讲好」意味着在用户心智中，大家能够记住蕉内有这个品类，而不只是记住 TVC 中的某个产品。同时，还要让大家成功感知到，蕉内在这条产品线所「重新设计」的差异点会是什么。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产品命名技巧</w:t>
      </w:r>
      <w:r>
        <w:rPr>
          <w:rFonts w:eastAsia="等线" w:ascii="Arial" w:cs="Arial" w:hAnsi="Arial"/>
          <w:sz w:val="22"/>
        </w:rPr>
        <w:t>：蕉内有给产品起独特、专属名字的技巧，如保暖系列叫「热皮」，防晒系列叫「凉皮」，无钢圈内衣叫「软支撑」，绒绒家居服也有「小记号」「小高光」等不同名称。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《凉皮之夏》创意表达</w:t>
      </w:r>
      <w:r>
        <w:rPr>
          <w:rFonts w:eastAsia="等线" w:ascii="Arial" w:cs="Arial" w:hAnsi="Arial"/>
          <w:sz w:val="22"/>
        </w:rPr>
        <w:t>：蕉内将防晒系列「凉皮」和西北美食「凉皮」碰撞，在短片中，两个「凉皮铺」老板（刘佩琦和王一博）的三轮对决不断强化蕉内凉皮「科学防晒更凉快」这一独特记忆点，生动诠释出防晒降温、好看百搭、独特剪裁等产品利益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效果衡量标准</w:t>
      </w:r>
      <w:r>
        <w:rPr>
          <w:rFonts w:eastAsia="等线" w:ascii="Arial" w:cs="Arial" w:hAnsi="Arial"/>
          <w:sz w:val="22"/>
        </w:rPr>
        <w:t>：蕉内在 TVC 出街后不止会关注「蕉内防晒」的提及率，更会观察「蕉内凉皮」等具体关键词的被提及率。除了声量，产品销量也是直观的衡量标准。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防晒系列差异点</w:t>
      </w:r>
      <w:r>
        <w:rPr>
          <w:rFonts w:eastAsia="等线" w:ascii="Arial" w:cs="Arial" w:hAnsi="Arial"/>
          <w:sz w:val="22"/>
        </w:rPr>
        <w:t>：蕉内防晒系列运用含有凉感粒子的自研纱线，形成降温隔热导热层，不仅有高防晒性能，还自带凉感。还「重新设计」了版型、剪裁，解决闷热导致异味的体感问题。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创意表达优势</w:t>
      </w:r>
      <w:r>
        <w:rPr>
          <w:rFonts w:eastAsia="等线" w:ascii="Arial" w:cs="Arial" w:hAnsi="Arial"/>
          <w:sz w:val="22"/>
        </w:rPr>
        <w:t>：用轻巧的「凉皮」名字表达「防晒 + 凉感」功能差异点，形象富有联想力，自带传播属性，能在同质化严重的防晒服饰赛道打出差异，积累品牌资产，实现品效合一。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挖掘代言人的个人气质，增强产品的可感知度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注重代言人气质化学反应</w:t>
      </w:r>
      <w:r>
        <w:rPr>
          <w:rFonts w:eastAsia="等线" w:ascii="Arial" w:cs="Arial" w:hAnsi="Arial"/>
          <w:sz w:val="22"/>
        </w:rPr>
        <w:t>：蕉内非常注重代言人的个人气质能给品牌及故事带来的化学反应，而非让代言人只念广告词。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周冬雨合作特点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选择周冬雨原因：她是实力派演员，与蕉内提高国货底线的愿景不谋而合，古灵精怪的鬼马气质也很「蕉内」，且极具观众缘和高国民度，可帮助蕉内转换理性形象，拉近与用户距离。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软软有力量》案例：主推蕉内软支撑内衣，解决无钢圈内衣缺支撑力、有钢圈内衣不舒适的痛点。创意表达落在「软」和「支撑」矛盾处，周冬雨自身气质让广告更灵动、轻盈、有轻喜剧感，用户愿意看，也为品牌注入活力、明亮氛围。蕉内和周冬雨合作 TVC 基调偏向鬼马活泼、明媚轻松，选择突出舒适感受的产品。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王一博合作特点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运用「反差」思路：王一博昵称「酷盖」，平时酷酷冷冷，但在《就这样，被绒化了》中展现居家放松一面，快速建立绒绒系列暖人形象认知；在《凉皮之夏》中和刘佩琦演冷幽默喜剧。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兼顾粉丝和大众：蕉内灵活运用代言人气质创造故事，既让粉丝看到偶像不一样的样子，有动力传播和体验产品，也让非粉丝大众因故事有趣、卖点清晰对产品产生印象，使产品更好被大众感知。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品牌星球观点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蕉内在 2021 年初定下成为服务大众家庭的国民品牌战略，选择双代言人组合是为让品牌气质更加中性，在「酷」和「亲和力」中做到平衡，与更多年轻消费者对话，逐步成为「下一代基本款」。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蕉内从上至下缕清自身需求，再和代言人共创内容表达，没有被代言人带着走，做到借力破圈，积累自身品牌资产。品牌应是核心，让代言人影响力助力达成品牌阶段性目标。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546">
    <w:lvl>
      <w:numFmt w:val="bullet"/>
      <w:suff w:val="tab"/>
      <w:lvlText w:val="•"/>
      <w:rPr>
        <w:color w:val="3370ff"/>
      </w:rPr>
    </w:lvl>
  </w:abstractNum>
  <w:abstractNum w:abstractNumId="187547">
    <w:lvl>
      <w:numFmt w:val="bullet"/>
      <w:suff w:val="tab"/>
      <w:lvlText w:val="•"/>
      <w:rPr>
        <w:color w:val="3370ff"/>
      </w:rPr>
    </w:lvl>
  </w:abstractNum>
  <w:abstractNum w:abstractNumId="187548">
    <w:lvl>
      <w:numFmt w:val="bullet"/>
      <w:suff w:val="tab"/>
      <w:lvlText w:val="•"/>
      <w:rPr>
        <w:color w:val="3370ff"/>
      </w:rPr>
    </w:lvl>
  </w:abstractNum>
  <w:abstractNum w:abstractNumId="187549">
    <w:lvl>
      <w:numFmt w:val="bullet"/>
      <w:suff w:val="tab"/>
      <w:lvlText w:val="•"/>
      <w:rPr>
        <w:color w:val="3370ff"/>
      </w:rPr>
    </w:lvl>
  </w:abstractNum>
  <w:abstractNum w:abstractNumId="187550">
    <w:lvl>
      <w:numFmt w:val="bullet"/>
      <w:suff w:val="tab"/>
      <w:lvlText w:val="•"/>
      <w:rPr>
        <w:color w:val="3370ff"/>
      </w:rPr>
    </w:lvl>
  </w:abstractNum>
  <w:abstractNum w:abstractNumId="187551">
    <w:lvl>
      <w:numFmt w:val="bullet"/>
      <w:suff w:val="tab"/>
      <w:lvlText w:val="•"/>
      <w:rPr>
        <w:color w:val="3370ff"/>
      </w:rPr>
    </w:lvl>
  </w:abstractNum>
  <w:abstractNum w:abstractNumId="187552">
    <w:lvl>
      <w:numFmt w:val="bullet"/>
      <w:suff w:val="tab"/>
      <w:lvlText w:val="•"/>
      <w:rPr>
        <w:color w:val="3370ff"/>
      </w:rPr>
    </w:lvl>
  </w:abstractNum>
  <w:abstractNum w:abstractNumId="187553">
    <w:lvl>
      <w:numFmt w:val="bullet"/>
      <w:suff w:val="tab"/>
      <w:lvlText w:val="•"/>
      <w:rPr>
        <w:color w:val="3370ff"/>
      </w:rPr>
    </w:lvl>
  </w:abstractNum>
  <w:abstractNum w:abstractNumId="187554">
    <w:lvl>
      <w:numFmt w:val="bullet"/>
      <w:suff w:val="tab"/>
      <w:lvlText w:val="•"/>
      <w:rPr>
        <w:color w:val="3370ff"/>
      </w:rPr>
    </w:lvl>
  </w:abstractNum>
  <w:abstractNum w:abstractNumId="187555">
    <w:lvl>
      <w:numFmt w:val="bullet"/>
      <w:suff w:val="tab"/>
      <w:lvlText w:val="•"/>
      <w:rPr>
        <w:color w:val="3370ff"/>
      </w:rPr>
    </w:lvl>
  </w:abstractNum>
  <w:abstractNum w:abstractNumId="187556">
    <w:lvl>
      <w:numFmt w:val="bullet"/>
      <w:suff w:val="tab"/>
      <w:lvlText w:val="•"/>
      <w:rPr>
        <w:color w:val="3370ff"/>
      </w:rPr>
    </w:lvl>
  </w:abstractNum>
  <w:abstractNum w:abstractNumId="187557">
    <w:lvl>
      <w:numFmt w:val="bullet"/>
      <w:suff w:val="tab"/>
      <w:lvlText w:val="•"/>
      <w:rPr>
        <w:color w:val="3370ff"/>
      </w:rPr>
    </w:lvl>
  </w:abstractNum>
  <w:abstractNum w:abstractNumId="187558">
    <w:lvl>
      <w:numFmt w:val="bullet"/>
      <w:suff w:val="tab"/>
      <w:lvlText w:val="•"/>
      <w:rPr>
        <w:color w:val="3370ff"/>
      </w:rPr>
    </w:lvl>
  </w:abstractNum>
  <w:abstractNum w:abstractNumId="187559">
    <w:lvl>
      <w:numFmt w:val="bullet"/>
      <w:suff w:val="tab"/>
      <w:lvlText w:val="•"/>
      <w:rPr>
        <w:color w:val="3370ff"/>
      </w:rPr>
    </w:lvl>
  </w:abstractNum>
  <w:abstractNum w:abstractNumId="187560">
    <w:lvl>
      <w:numFmt w:val="bullet"/>
      <w:suff w:val="tab"/>
      <w:lvlText w:val="•"/>
      <w:rPr>
        <w:color w:val="3370ff"/>
      </w:rPr>
    </w:lvl>
  </w:abstractNum>
  <w:abstractNum w:abstractNumId="187561">
    <w:lvl>
      <w:numFmt w:val="bullet"/>
      <w:suff w:val="tab"/>
      <w:lvlText w:val="￮"/>
      <w:rPr>
        <w:color w:val="3370ff"/>
      </w:rPr>
    </w:lvl>
  </w:abstractNum>
  <w:abstractNum w:abstractNumId="187562">
    <w:lvl>
      <w:numFmt w:val="bullet"/>
      <w:suff w:val="tab"/>
      <w:lvlText w:val="￮"/>
      <w:rPr>
        <w:color w:val="3370ff"/>
      </w:rPr>
    </w:lvl>
  </w:abstractNum>
  <w:abstractNum w:abstractNumId="187563">
    <w:lvl>
      <w:numFmt w:val="bullet"/>
      <w:suff w:val="tab"/>
      <w:lvlText w:val="•"/>
      <w:rPr>
        <w:color w:val="3370ff"/>
      </w:rPr>
    </w:lvl>
  </w:abstractNum>
  <w:abstractNum w:abstractNumId="187564">
    <w:lvl>
      <w:numFmt w:val="bullet"/>
      <w:suff w:val="tab"/>
      <w:lvlText w:val="￮"/>
      <w:rPr>
        <w:color w:val="3370ff"/>
      </w:rPr>
    </w:lvl>
  </w:abstractNum>
  <w:abstractNum w:abstractNumId="187565">
    <w:lvl>
      <w:numFmt w:val="bullet"/>
      <w:suff w:val="tab"/>
      <w:lvlText w:val="￮"/>
      <w:rPr>
        <w:color w:val="3370ff"/>
      </w:rPr>
    </w:lvl>
  </w:abstractNum>
  <w:abstractNum w:abstractNumId="187566">
    <w:lvl>
      <w:numFmt w:val="bullet"/>
      <w:suff w:val="tab"/>
      <w:lvlText w:val="•"/>
      <w:rPr>
        <w:color w:val="3370ff"/>
      </w:rPr>
    </w:lvl>
  </w:abstractNum>
  <w:abstractNum w:abstractNumId="187567">
    <w:lvl>
      <w:numFmt w:val="bullet"/>
      <w:suff w:val="tab"/>
      <w:lvlText w:val="•"/>
      <w:rPr>
        <w:color w:val="3370ff"/>
      </w:rPr>
    </w:lvl>
  </w:abstractNum>
  <w:num w:numId="1">
    <w:abstractNumId w:val="187546"/>
  </w:num>
  <w:num w:numId="2">
    <w:abstractNumId w:val="187547"/>
  </w:num>
  <w:num w:numId="3">
    <w:abstractNumId w:val="187548"/>
  </w:num>
  <w:num w:numId="4">
    <w:abstractNumId w:val="187549"/>
  </w:num>
  <w:num w:numId="5">
    <w:abstractNumId w:val="187550"/>
  </w:num>
  <w:num w:numId="6">
    <w:abstractNumId w:val="187551"/>
  </w:num>
  <w:num w:numId="7">
    <w:abstractNumId w:val="187552"/>
  </w:num>
  <w:num w:numId="8">
    <w:abstractNumId w:val="187553"/>
  </w:num>
  <w:num w:numId="9">
    <w:abstractNumId w:val="187554"/>
  </w:num>
  <w:num w:numId="10">
    <w:abstractNumId w:val="187555"/>
  </w:num>
  <w:num w:numId="11">
    <w:abstractNumId w:val="187556"/>
  </w:num>
  <w:num w:numId="12">
    <w:abstractNumId w:val="187557"/>
  </w:num>
  <w:num w:numId="13">
    <w:abstractNumId w:val="187558"/>
  </w:num>
  <w:num w:numId="14">
    <w:abstractNumId w:val="187559"/>
  </w:num>
  <w:num w:numId="15">
    <w:abstractNumId w:val="187560"/>
  </w:num>
  <w:num w:numId="16">
    <w:abstractNumId w:val="187561"/>
  </w:num>
  <w:num w:numId="17">
    <w:abstractNumId w:val="187562"/>
  </w:num>
  <w:num w:numId="18">
    <w:abstractNumId w:val="187563"/>
  </w:num>
  <w:num w:numId="19">
    <w:abstractNumId w:val="187564"/>
  </w:num>
  <w:num w:numId="20">
    <w:abstractNumId w:val="187565"/>
  </w:num>
  <w:num w:numId="21">
    <w:abstractNumId w:val="187566"/>
  </w:num>
  <w:num w:numId="22">
    <w:abstractNumId w:val="1875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2025-08-09T14:35:54Z</dcterms:created>
  <dc:creator>Apache POI</dc:creator>
</cp:coreProperties>
</file>