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《Athletic Greens 品牌短片：传递身心合一健康观与长期主义思维》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品牌短片发布背景与主题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近几个月，中国数个城市遭遇了严重的疫情，继上海经历了近三个月的暂停之后，北京也开始了居家隔离。疫情的卷土重来，让人们在封闭状态下的身心健康经受着巨大的挑战。5 月 19 日，专注全膳食核心营养的高端营养品牌 Athletic Greens（以下简称 AG）发布了最新品牌短片。以「带上小绿，开启人生奇遇」为主题，邀请了 4 位户外运动生活玩家：中国女子帆船环球第一人宋坤、花式自行车达人廖锡荣、冲浪集合店 Grom 主理人 Summer、极限运动内容制作人大董 GOODGO，共同拍摄了这条充满自由气息的短片。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品牌传播转变与目标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 AG 2019 年进入中国，从初期的聚焦产品打开市场，到今天 AG 开始在官方的品牌传播中，更加注重从身体健康到身心合一的健康生活方式的传播。这不仅是因为疫情的大背景，其实也是品牌一直以来的核心价值观。AG 也告诉品牌星球，这次「带上小绿，开启人生奇遇」的 Campaign，更多希望将 AG 长期主义的健康观、产品观传递出来，同时也希望通过短片中四位生活玩家的故事，加深大众对于 AG 所定义的核心用户画像「Lifeletes」生活家的想象。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身心合一的健康观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新维度切入身心健康</w:t>
      </w:r>
      <w:r>
        <w:rPr>
          <w:rFonts w:eastAsia="等线" w:ascii="Arial" w:cs="Arial" w:hAnsi="Arial"/>
          <w:sz w:val="22"/>
        </w:rPr>
        <w:t>：当我们提起 AG 时，一定会联想到其核心产品「AG1 小绿粉」，以及其对于提升身体健康的功能性帮助。而在这次的短片中，我们注意到 AG 以一种新的维度切入，通过呈现很多人渴望走出去的心理状态，由身入心，将视角落在更深层次的身心健康上。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情感共鸣与灵感来源</w:t>
      </w:r>
      <w:r>
        <w:rPr>
          <w:rFonts w:eastAsia="等线" w:ascii="Arial" w:cs="Arial" w:hAnsi="Arial"/>
          <w:sz w:val="22"/>
        </w:rPr>
        <w:t>：AG 告诉我们，他们并没有很刻意地去策划影片的核心灵感，而是从疫情这样的大背景下自然生发出一种「无需多说」的情感共鸣。「疫情时代很多人感到很困顿，不管是身体还是心理都难免有被禁锢的感受，心理健康的重要性也开始被更多人关注。这次 Campaign 的灵感就来自每个普通人内心真实的诉求，期待自由，期待和自然的接触，期待更多、更深刻的生命体验，这种心情是当下每个人内心的渴望，无需刻意捕捉或者营造。」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整体健康的定义</w:t>
      </w:r>
      <w:r>
        <w:rPr>
          <w:rFonts w:eastAsia="等线" w:ascii="Arial" w:cs="Arial" w:hAnsi="Arial"/>
          <w:sz w:val="22"/>
        </w:rPr>
        <w:t>：「一个人的健康有三个层次：身体、心理与社交健康。疫情让我们的身体、心理以及社交生活都受到了极大的影响，每个人都在经历前所未有的压力和焦虑。而 AG 一直以来倡导的是整体健康，健康不仅只是身体层面，而是由内而外焕发的一种积极的状态。」在 AG 对健康的定义下，三个层次之间不是割裂关系，而是互相影响和支持，共同形成一种平衡的健康系统。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心理健康相关品牌动作</w:t>
      </w:r>
      <w:r>
        <w:rPr>
          <w:rFonts w:eastAsia="等线" w:ascii="Arial" w:cs="Arial" w:hAnsi="Arial"/>
          <w:sz w:val="22"/>
        </w:rPr>
        <w:t>：在不断挑战自我的生活状态下，Lifeletes 需要对自己的身心健康有所觉知，才能更好地维护平衡。也因此除了这次 Campaign 之外，AG 其实一直持续着和心理健康相关的品牌动作。在内容层面，今年 3 月 AG 推出以「一勺小绿，无惧焦虑」为主题的品牌短片，记录 9 位用户真实分享的面对焦虑的故事，传递应对情绪健康的勇气。比如在活动层面，AG 以圆桌沙龙的形式，发起关于身心健康的对谈，邀请 4 位品牌大使和挚友，分享面对焦虑的和解方式。而在疫情期间，AG 及时策划了以「情绪性饮食自救指南」为主题的直播，从饮食、训练与情绪放松三个方面，启发用户「找回生活的掌控感和健康的主动权」。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品牌定位转变</w:t>
      </w:r>
      <w:r>
        <w:rPr>
          <w:rFonts w:eastAsia="等线" w:ascii="Arial" w:cs="Arial" w:hAnsi="Arial"/>
          <w:sz w:val="22"/>
        </w:rPr>
        <w:t>：由身入心，清晰的整体健康观让 AG 不曾止步于一个「营养补剂品牌」，而是要成为「引领中国保健食品领域的健康生活方式先锋品牌」。从单次的品牌短片，到长期的品牌内容策划，我们能看到进入中国市场后的 AG，在完成对小绿粉的产品介绍后，下一个阶段会发力身心健康的生活方式。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长期主义思维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长期主义思维的提出</w:t>
      </w:r>
      <w:r>
        <w:rPr>
          <w:rFonts w:eastAsia="等线" w:ascii="Arial" w:cs="Arial" w:hAnsi="Arial"/>
          <w:sz w:val="22"/>
        </w:rPr>
        <w:t>：AG 中国区总经理 Tim Harrington 曾介绍到，AG 所理解的当代生活与运动有着相通之处，「生活，本质就是运动」，这也是品牌名中「Athletic（运动员的）」的意义。在这次的 Campaign 中，我们能看到其中另一个重要的思路，是提出一种「长期主义思维」，赋予了这种运动员精神更深层次的涵义。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长期坚持与身心健康</w:t>
      </w:r>
      <w:r>
        <w:rPr>
          <w:rFonts w:eastAsia="等线" w:ascii="Arial" w:cs="Arial" w:hAnsi="Arial"/>
          <w:sz w:val="22"/>
        </w:rPr>
        <w:t>：就像片中呈现的那样，Campaign 中四位 KOL 在享受户外活动所带来的刺激与成就的背后，往往是以十数年为单位的坚持，是日复一日的训练，并且始终保持积极向前的状态。而 AG 也将这种坚持的力量所带来的身心健康，定义为一种愿意投资身心健康的「长期主义思维」。这反映在了 AG 的产品观念中。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产品观念与核心营养</w:t>
      </w:r>
      <w:r>
        <w:rPr>
          <w:rFonts w:eastAsia="等线" w:ascii="Arial" w:cs="Arial" w:hAnsi="Arial"/>
          <w:sz w:val="22"/>
        </w:rPr>
        <w:t>：AG 认为，保持最佳健康应该是一个漫长的过程，然而消费者对于健康的迫切心态，容易对营养补充类产品产生短期见效的期待。事实上「缺什么补什么」也仍是目前营养补剂市场的主流声音。而 AG 所定义的营养补充产品并不是短期特效药，而是通过日常优化的核心营养来加强健康基础。从稳定的基础开始，逐步建立更出色的人生表现。AG 向我们描述其每日核心基础营养（daily foundational nutrition）的理念：「对于生活玩家和商业精英来说，小绿粉像是每日的超长续航电池，无论是在健身房、在办公室、还是在山野户外里，为他们的每一次冒险和挑战提供能量；对于爱美人士来说，小绿粉就像是完美的化妆前粉底。它是你的妆容能否永久出彩的前提。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建立日常流程与接受趋势</w:t>
      </w:r>
      <w:r>
        <w:rPr>
          <w:rFonts w:eastAsia="等线" w:ascii="Arial" w:cs="Arial" w:hAnsi="Arial"/>
          <w:sz w:val="22"/>
        </w:rPr>
        <w:t>：保持健康和良好的身心状态是长期坚持的过程。而 AG 所倡导的长期主义的健康，需要建立起一种稳定的日常流程，不论是饮食，还是运动、作息，都能够每日坚持。因此在许多营养补充产品强调对症和细分时，AG 始终在思考如何在一勺小绿粉中实现更多样的核心营养补充，从成分到形式，帮助用户以「最小成本」打好健康基础。AG 所坚持的「All in One」的理念也在这里体现，以更易吸收的粉状浓缩每天所需的 75 种核心营养，这种便捷和高效性，有助于这种日常流程的实现，让每个清晨一杯小绿粉的动作，成为可以坚持的饮食习惯。「这种愿意对身体做投资的长期主义思维目前虽然小众，但我们认为越来越多的消费者已经有了这个意识，随着健康意识的提升一定会被更多人接受。」AG 告诉我们。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长期投资带来自我主宰感</w:t>
      </w:r>
      <w:r>
        <w:rPr>
          <w:rFonts w:eastAsia="等线" w:ascii="Arial" w:cs="Arial" w:hAnsi="Arial"/>
          <w:sz w:val="22"/>
        </w:rPr>
        <w:t>：对于这群生活玩家而言，对身心健康的长期投资，带来的是一种「自我主宰感」。不论是商业精英、户外爱好者、还是努力实现梦想的生活家们，他们共同的境遇是需要不断面对生活中的无数挑战，因此对生活和健康的掌控成为了一种「必需品」。正如在 AG 的四大品牌价值主张中，最有重量的一点便是「Ownership 主宰健康生活」。不论是产品或是品牌，AG 的角色便是「启发用户把握自己的健康和生活，并且能赋予他们追求这种生活的能力和动力。」AG 认为当人们有意识地去选择每天的饮食，主动关照自己的健康时，就是在掌握健康的主动权。而掌握了健康，很大程度上便是掌握了人生。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官宣宋坤作为品牌大使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大使选择与契合度</w:t>
      </w:r>
      <w:r>
        <w:rPr>
          <w:rFonts w:eastAsia="等线" w:ascii="Arial" w:cs="Arial" w:hAnsi="Arial"/>
          <w:sz w:val="22"/>
        </w:rPr>
        <w:t>：这次 Campaign 的第三个重点是 AG 官宣了宋坤作为新的中国品牌大使。作为中国女子帆船环球第一人，宋坤也是 AG 中国品牌大使中第一位从事户外水上运动的专业人士。在宋坤身上，AG 看到了她与品牌定义的用户肖像极其契合且具有启发性的特质。「她是我们心目中非常完美的大使形象，因为她的生活不仅只是竞赛与帆船，更多是对生活的一种热爱与积极。顺从内心的勇敢，挑战身心极限，这样的决定让她收获了非常多的奇遇时刻。」AG 说道。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宋坤使用小绿粉情况</w:t>
      </w:r>
      <w:r>
        <w:rPr>
          <w:rFonts w:eastAsia="等线" w:ascii="Arial" w:cs="Arial" w:hAnsi="Arial"/>
          <w:sz w:val="22"/>
        </w:rPr>
        <w:t>：同时，宋坤本人也是 AG 小绿粉的忠实用户。尤其在她出海航行的极端条件下，很难每日都摄取充足的新鲜蔬果以及营养，而小绿粉可以帮助她在资源匮乏的情况下全面补充核心营养元素。离开甲板和帆船之外，在日常生活中宋坤也十分注重身心健康，做不同类型的运动，保持规律和健康的饮食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品牌大使策略与社区活力</w:t>
      </w:r>
      <w:r>
        <w:rPr>
          <w:rFonts w:eastAsia="等线" w:ascii="Arial" w:cs="Arial" w:hAnsi="Arial"/>
          <w:sz w:val="22"/>
        </w:rPr>
        <w:t>：这次和宋坤合作也是 AG 一直以来的品牌大使策略的延续。AG 在全球都有非常丰富多元的，能够代表 Lifeletes（生活家）的品牌大使和品牌挚友体系。他们往往像宋坤一样，本身便是 AG 的用户。其次是价值观的契合，从健康观到产品观，在生活里他们就是认可 AG 所倡导的这种长期主义、身心合一的健康观念。AG 希望能够自然地吸引和聚集到品牌的同路人。是否具有启发性也是 AG 十分看重的一点。品牌大使和挚友们大多活跃在创业、播客、自媒体、运动等各个充满挑战的领域，主动创造自己热爱的事业，面对挫折也往往能够触底反弹。他们的亲身经验启发着其他社区成员，吸引更多的同行者，不断激活社区和品牌的活力。Lifeletes 是由 AG 定义出来的形象，因此需要通过具体的人和故事来传递一种具体的想象。想象越具体，那种向上引导的力量便越强大。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244">
    <w:lvl>
      <w:numFmt w:val="bullet"/>
      <w:suff w:val="tab"/>
      <w:lvlText w:val="•"/>
      <w:rPr>
        <w:color w:val="3370ff"/>
      </w:rPr>
    </w:lvl>
  </w:abstractNum>
  <w:abstractNum w:abstractNumId="120245">
    <w:lvl>
      <w:numFmt w:val="bullet"/>
      <w:suff w:val="tab"/>
      <w:lvlText w:val="•"/>
      <w:rPr>
        <w:color w:val="3370ff"/>
      </w:rPr>
    </w:lvl>
  </w:abstractNum>
  <w:abstractNum w:abstractNumId="120246">
    <w:lvl>
      <w:numFmt w:val="bullet"/>
      <w:suff w:val="tab"/>
      <w:lvlText w:val="•"/>
      <w:rPr>
        <w:color w:val="3370ff"/>
      </w:rPr>
    </w:lvl>
  </w:abstractNum>
  <w:abstractNum w:abstractNumId="120247">
    <w:lvl>
      <w:numFmt w:val="bullet"/>
      <w:suff w:val="tab"/>
      <w:lvlText w:val="•"/>
      <w:rPr>
        <w:color w:val="3370ff"/>
      </w:rPr>
    </w:lvl>
  </w:abstractNum>
  <w:abstractNum w:abstractNumId="120248">
    <w:lvl>
      <w:numFmt w:val="bullet"/>
      <w:suff w:val="tab"/>
      <w:lvlText w:val="•"/>
      <w:rPr>
        <w:color w:val="3370ff"/>
      </w:rPr>
    </w:lvl>
  </w:abstractNum>
  <w:abstractNum w:abstractNumId="120249">
    <w:lvl>
      <w:numFmt w:val="bullet"/>
      <w:suff w:val="tab"/>
      <w:lvlText w:val="•"/>
      <w:rPr>
        <w:color w:val="3370ff"/>
      </w:rPr>
    </w:lvl>
  </w:abstractNum>
  <w:abstractNum w:abstractNumId="120250">
    <w:lvl>
      <w:numFmt w:val="bullet"/>
      <w:suff w:val="tab"/>
      <w:lvlText w:val="•"/>
      <w:rPr>
        <w:color w:val="3370ff"/>
      </w:rPr>
    </w:lvl>
  </w:abstractNum>
  <w:abstractNum w:abstractNumId="120251">
    <w:lvl>
      <w:numFmt w:val="bullet"/>
      <w:suff w:val="tab"/>
      <w:lvlText w:val="•"/>
      <w:rPr>
        <w:color w:val="3370ff"/>
      </w:rPr>
    </w:lvl>
  </w:abstractNum>
  <w:abstractNum w:abstractNumId="120252">
    <w:lvl>
      <w:numFmt w:val="bullet"/>
      <w:suff w:val="tab"/>
      <w:lvlText w:val="•"/>
      <w:rPr>
        <w:color w:val="3370ff"/>
      </w:rPr>
    </w:lvl>
  </w:abstractNum>
  <w:abstractNum w:abstractNumId="120253">
    <w:lvl>
      <w:numFmt w:val="bullet"/>
      <w:suff w:val="tab"/>
      <w:lvlText w:val="•"/>
      <w:rPr>
        <w:color w:val="3370ff"/>
      </w:rPr>
    </w:lvl>
  </w:abstractNum>
  <w:abstractNum w:abstractNumId="120254">
    <w:lvl>
      <w:numFmt w:val="bullet"/>
      <w:suff w:val="tab"/>
      <w:lvlText w:val="•"/>
      <w:rPr>
        <w:color w:val="3370ff"/>
      </w:rPr>
    </w:lvl>
  </w:abstractNum>
  <w:abstractNum w:abstractNumId="120255">
    <w:lvl>
      <w:numFmt w:val="bullet"/>
      <w:suff w:val="tab"/>
      <w:lvlText w:val="•"/>
      <w:rPr>
        <w:color w:val="3370ff"/>
      </w:rPr>
    </w:lvl>
  </w:abstractNum>
  <w:abstractNum w:abstractNumId="120256">
    <w:lvl>
      <w:numFmt w:val="bullet"/>
      <w:suff w:val="tab"/>
      <w:lvlText w:val="•"/>
      <w:rPr>
        <w:color w:val="3370ff"/>
      </w:rPr>
    </w:lvl>
  </w:abstractNum>
  <w:num w:numId="1">
    <w:abstractNumId w:val="120244"/>
  </w:num>
  <w:num w:numId="2">
    <w:abstractNumId w:val="120245"/>
  </w:num>
  <w:num w:numId="3">
    <w:abstractNumId w:val="120246"/>
  </w:num>
  <w:num w:numId="4">
    <w:abstractNumId w:val="120247"/>
  </w:num>
  <w:num w:numId="5">
    <w:abstractNumId w:val="120248"/>
  </w:num>
  <w:num w:numId="6">
    <w:abstractNumId w:val="120249"/>
  </w:num>
  <w:num w:numId="7">
    <w:abstractNumId w:val="120250"/>
  </w:num>
  <w:num w:numId="8">
    <w:abstractNumId w:val="120251"/>
  </w:num>
  <w:num w:numId="9">
    <w:abstractNumId w:val="120252"/>
  </w:num>
  <w:num w:numId="10">
    <w:abstractNumId w:val="120253"/>
  </w:num>
  <w:num w:numId="11">
    <w:abstractNumId w:val="120254"/>
  </w:num>
  <w:num w:numId="12">
    <w:abstractNumId w:val="120255"/>
  </w:num>
  <w:num w:numId="13">
    <w:abstractNumId w:val="1202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2025-08-09T12:38:31Z</dcterms:created>
  <dc:creator>Apache POI</dc:creator>
</cp:coreProperties>
</file>