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xml:space="preserve">《MitoQ 联合报告洞察后疫情消费趋势，多维度展现细胞健康品牌实力》 </w:t>
      </w:r>
    </w:p>
    <w:p>
      <w:pPr>
        <w:spacing w:before="120" w:after="120" w:line="288" w:lineRule="auto"/>
        <w:ind w:left="0"/>
        <w:jc w:val="left"/>
      </w:pPr>
      <w:r>
        <w:rPr>
          <w:rFonts w:eastAsia="等线" w:ascii="Arial" w:cs="Arial" w:hAnsi="Arial"/>
          <w:sz w:val="22"/>
        </w:rPr>
        <w:t>以下是提取的与细胞健康品牌 MitoQ 相关的高度关键内容：</w:t>
      </w:r>
    </w:p>
    <w:p>
      <w:pPr>
        <w:pStyle w:val="3"/>
        <w:spacing w:before="300" w:after="120" w:line="288" w:lineRule="auto"/>
        <w:ind w:left="0"/>
        <w:jc w:val="left"/>
        <w:outlineLvl w:val="2"/>
      </w:pPr>
      <w:bookmarkStart w:name="heading_0" w:id="0"/>
      <w:r>
        <w:rPr>
          <w:rFonts w:eastAsia="等线" w:ascii="Arial" w:cs="Arial" w:hAnsi="Arial"/>
          <w:b w:val="true"/>
          <w:sz w:val="30"/>
        </w:rPr>
        <w:t>报告发布</w:t>
      </w:r>
      <w:bookmarkEnd w:id="0"/>
    </w:p>
    <w:p>
      <w:pPr>
        <w:numPr>
          <w:numId w:val="1"/>
        </w:numPr>
        <w:spacing w:before="120" w:after="120" w:line="288" w:lineRule="auto"/>
        <w:ind w:left="0"/>
        <w:jc w:val="left"/>
      </w:pPr>
      <w:r>
        <w:rPr>
          <w:rFonts w:eastAsia="等线" w:ascii="Arial" w:cs="Arial" w:hAnsi="Arial"/>
          <w:sz w:val="22"/>
        </w:rPr>
        <w:t>5 月 27 日，细胞健康品牌 MitoQ 联合英国趋势预测机构 WGSN 正式发布报告《微趋势，大未来 Microtrends into the Future》，从科技赋能、气候紧迫性和全方位健康三个维度总结了「后疫情时代」消费者关注的议题。</w:t>
      </w:r>
    </w:p>
    <w:p>
      <w:pPr>
        <w:numPr>
          <w:numId w:val="2"/>
        </w:numPr>
        <w:spacing w:before="120" w:after="120" w:line="288" w:lineRule="auto"/>
        <w:ind w:left="0"/>
        <w:jc w:val="left"/>
      </w:pPr>
      <w:r>
        <w:rPr>
          <w:rFonts w:eastAsia="等线" w:ascii="Arial" w:cs="Arial" w:hAnsi="Arial"/>
          <w:sz w:val="22"/>
        </w:rPr>
        <w:t>在这篇报告中，MitoQ 和 WGSN 还对后疫情时代的消费群体画像进行了预测，并以四个关键词进行概括——厌恶风险者、新浪漫主义、创变者和热爱生活者。</w:t>
      </w:r>
    </w:p>
    <w:p>
      <w:pPr>
        <w:pStyle w:val="3"/>
        <w:spacing w:before="300" w:after="120" w:line="288" w:lineRule="auto"/>
        <w:ind w:left="0"/>
        <w:jc w:val="left"/>
        <w:outlineLvl w:val="2"/>
      </w:pPr>
      <w:bookmarkStart w:name="heading_1" w:id="1"/>
      <w:r>
        <w:rPr>
          <w:rFonts w:eastAsia="等线" w:ascii="Arial" w:cs="Arial" w:hAnsi="Arial"/>
          <w:b w:val="true"/>
          <w:sz w:val="30"/>
        </w:rPr>
        <w:t>生物科技与新品类开创</w:t>
      </w:r>
      <w:bookmarkEnd w:id="1"/>
    </w:p>
    <w:p>
      <w:pPr>
        <w:numPr>
          <w:numId w:val="3"/>
        </w:numPr>
        <w:spacing w:before="120" w:after="120" w:line="288" w:lineRule="auto"/>
        <w:ind w:left="0"/>
        <w:jc w:val="left"/>
      </w:pPr>
      <w:r>
        <w:rPr>
          <w:rFonts w:eastAsia="等线" w:ascii="Arial" w:cs="Arial" w:hAnsi="Arial"/>
          <w:sz w:val="22"/>
        </w:rPr>
        <w:t>在报告中，WGSN 和 MitoQ 提出「在充满挑战的时代来临之际， 消费者将希望寄托于科学技术。」并点出，科技将在医疗保健领域发挥出更大的作用。</w:t>
      </w:r>
    </w:p>
    <w:p>
      <w:pPr>
        <w:numPr>
          <w:numId w:val="4"/>
        </w:numPr>
        <w:spacing w:before="120" w:after="120" w:line="288" w:lineRule="auto"/>
        <w:ind w:left="0"/>
        <w:jc w:val="left"/>
      </w:pPr>
      <w:r>
        <w:rPr>
          <w:rFonts w:eastAsia="等线" w:ascii="Arial" w:cs="Arial" w:hAnsi="Arial"/>
          <w:sz w:val="22"/>
        </w:rPr>
        <w:t>根据 WGSN 和 MitoQ 调研发现，在医疗保健领域，欧美多家医疗科研机构开始测试「数字药丸」，通过监测的手段来缓解患者的抑郁症状。业内也开始研发「植入式微科技」，让身体瘫痪的人群通过植入式微科技和身边人进行正常交流。</w:t>
      </w:r>
    </w:p>
    <w:p>
      <w:pPr>
        <w:numPr>
          <w:numId w:val="5"/>
        </w:numPr>
        <w:spacing w:before="120" w:after="120" w:line="288" w:lineRule="auto"/>
        <w:ind w:left="0"/>
        <w:jc w:val="left"/>
      </w:pPr>
      <w:r>
        <w:rPr>
          <w:rFonts w:eastAsia="等线" w:ascii="Arial" w:cs="Arial" w:hAnsi="Arial"/>
          <w:sz w:val="22"/>
        </w:rPr>
        <w:t>对于 MitoQ 而言，细胞科技一直是品牌的核心和优势。MitoQ 跳出了原有的框架，研发了独家专利的分子 MitoQ，在全球拥有 60 项专利保护。MitoQ 分子由现任剑桥大学线粒体研究项目负责人——麦克·墨菲博士（Mike Murphy）研发。</w:t>
      </w:r>
    </w:p>
    <w:p>
      <w:pPr>
        <w:numPr>
          <w:numId w:val="6"/>
        </w:numPr>
        <w:spacing w:before="120" w:after="120" w:line="288" w:lineRule="auto"/>
        <w:ind w:left="0"/>
        <w:jc w:val="left"/>
      </w:pPr>
      <w:r>
        <w:rPr>
          <w:rFonts w:eastAsia="等线" w:ascii="Arial" w:cs="Arial" w:hAnsi="Arial"/>
          <w:sz w:val="22"/>
        </w:rPr>
        <w:t>MitoQ 分子的颠覆之处在于，可以直接作用于细胞内部的线粒体，减少细胞压力带来的衰老问题，从而帮助身体保持健康，达到最佳状态，目前在消费级别的应用上只能在 MitoQ 的产品中找到。</w:t>
      </w:r>
    </w:p>
    <w:p>
      <w:pPr>
        <w:numPr>
          <w:numId w:val="7"/>
        </w:numPr>
        <w:spacing w:before="120" w:after="120" w:line="288" w:lineRule="auto"/>
        <w:ind w:left="0"/>
        <w:jc w:val="left"/>
      </w:pPr>
      <w:r>
        <w:rPr>
          <w:rFonts w:eastAsia="等线" w:ascii="Arial" w:cs="Arial" w:hAnsi="Arial"/>
          <w:sz w:val="22"/>
        </w:rPr>
        <w:t>MitoQ 表示「造成细胞衰老的主要原因是细胞压力和时间推移，我们不能逆转时间，但我们可以对抗细胞压力。」这也意味着 MitoQ 开创出了一个全新的细胞健康品类，也代表着新一代的营养补剂产品的发展方向。</w:t>
      </w:r>
    </w:p>
    <w:p>
      <w:pPr>
        <w:numPr>
          <w:numId w:val="8"/>
        </w:numPr>
        <w:spacing w:before="120" w:after="120" w:line="288" w:lineRule="auto"/>
        <w:ind w:left="0"/>
        <w:jc w:val="left"/>
      </w:pPr>
      <w:r>
        <w:rPr>
          <w:rFonts w:eastAsia="等线" w:ascii="Arial" w:cs="Arial" w:hAnsi="Arial"/>
          <w:sz w:val="22"/>
        </w:rPr>
        <w:t>目前，市面上已经发布了 600 篇与 MitoQ 分子相关的研究文献，涵盖心血管、脑神经、免疫等多个领域，这也使得 MitoQ 在创立初期就奠定了科研的基础，以专业、科学的文献作为品牌背书。</w:t>
      </w:r>
    </w:p>
    <w:p>
      <w:pPr>
        <w:numPr>
          <w:numId w:val="9"/>
        </w:numPr>
        <w:spacing w:before="120" w:after="120" w:line="288" w:lineRule="auto"/>
        <w:ind w:left="0"/>
        <w:jc w:val="left"/>
      </w:pPr>
      <w:r>
        <w:rPr>
          <w:rFonts w:eastAsia="等线" w:ascii="Arial" w:cs="Arial" w:hAnsi="Arial"/>
          <w:sz w:val="22"/>
        </w:rPr>
        <w:t>WGSN 和 MitoQ 在报告中提出，未来的消费人群将会更注重理性思考和科学主义，关注科学的优质信息摄入。而 MitoQ 自身的目标群体「Jugglers 先锋尝鲜者」，也是一群习惯于理性思考、注重科学的高知人群。MitoQ 在产品端先进的科研技术和研发思路则满足了这部分消费者的核心需求，通过核心的技术和科学的证据给用户提供身体健康的解决方案。</w:t>
      </w:r>
    </w:p>
    <w:p>
      <w:pPr>
        <w:pStyle w:val="3"/>
        <w:spacing w:before="300" w:after="120" w:line="288" w:lineRule="auto"/>
        <w:ind w:left="0"/>
        <w:jc w:val="left"/>
        <w:outlineLvl w:val="2"/>
      </w:pPr>
      <w:bookmarkStart w:name="heading_2" w:id="2"/>
      <w:r>
        <w:rPr>
          <w:rFonts w:eastAsia="等线" w:ascii="Arial" w:cs="Arial" w:hAnsi="Arial"/>
          <w:b w:val="true"/>
          <w:sz w:val="30"/>
        </w:rPr>
        <w:t>环保举措</w:t>
      </w:r>
      <w:bookmarkEnd w:id="2"/>
    </w:p>
    <w:p>
      <w:pPr>
        <w:numPr>
          <w:numId w:val="10"/>
        </w:numPr>
        <w:spacing w:before="120" w:after="120" w:line="288" w:lineRule="auto"/>
        <w:ind w:left="0"/>
        <w:jc w:val="left"/>
      </w:pPr>
      <w:r>
        <w:rPr>
          <w:rFonts w:eastAsia="等线" w:ascii="Arial" w:cs="Arial" w:hAnsi="Arial"/>
          <w:sz w:val="22"/>
        </w:rPr>
        <w:t>对环保、可持续发展的关心已经融入了人们的生活方式，也成为一种新的消费态度。根据 WGSN 和 MitoQ 的报告「2016 年以来， 全球对环保产品的需求量增加了 71%，全球品牌纷纷制定碳中和策略，环保包装成为消费者的购买理由之一。」</w:t>
      </w:r>
    </w:p>
    <w:p>
      <w:pPr>
        <w:numPr>
          <w:numId w:val="11"/>
        </w:numPr>
        <w:spacing w:before="120" w:after="120" w:line="288" w:lineRule="auto"/>
        <w:ind w:left="0"/>
        <w:jc w:val="left"/>
      </w:pPr>
      <w:r>
        <w:rPr>
          <w:rFonts w:eastAsia="等线" w:ascii="Arial" w:cs="Arial" w:hAnsi="Arial"/>
          <w:sz w:val="22"/>
        </w:rPr>
        <w:t>在前段时间的品牌升级中，MitoQ 也全面换上了可持续的环保材料，将环境可持续写入品牌核心价值。产品方面，MitoQ 使用了聚丙烯瓶盖，包装产品的盒子由环保纸制成，并使用了环保油墨拓印产品上的文字说明。</w:t>
      </w:r>
    </w:p>
    <w:p>
      <w:pPr>
        <w:numPr>
          <w:numId w:val="12"/>
        </w:numPr>
        <w:spacing w:before="120" w:after="120" w:line="288" w:lineRule="auto"/>
        <w:ind w:left="0"/>
        <w:jc w:val="left"/>
      </w:pPr>
      <w:r>
        <w:rPr>
          <w:rFonts w:eastAsia="等线" w:ascii="Arial" w:cs="Arial" w:hAnsi="Arial"/>
          <w:sz w:val="22"/>
        </w:rPr>
        <w:t>此外，MitoQ 还取消了单独印刷的说明书，将其折叠在瓶身上，不用时可以折叠收纳。品牌还在快递袋的设计上使用了消费和工业剩余废料制成的可持续材料，取消了塑料制成的气泡膜，实现了从生产端到售后端的可持续环保理念。</w:t>
      </w:r>
    </w:p>
    <w:p>
      <w:pPr>
        <w:numPr>
          <w:numId w:val="13"/>
        </w:numPr>
        <w:spacing w:before="120" w:after="120" w:line="288" w:lineRule="auto"/>
        <w:ind w:left="0"/>
        <w:jc w:val="left"/>
      </w:pPr>
      <w:r>
        <w:rPr>
          <w:rFonts w:eastAsia="等线" w:ascii="Arial" w:cs="Arial" w:hAnsi="Arial"/>
          <w:sz w:val="22"/>
        </w:rPr>
        <w:t>在 MitoQ 看来，环保的理念是可以重新被定义的，所有的事都可以「从微小开始」，从胶囊瓶身的设计到包装 MitoQ 产品的快递箱子，一点一点地扩大范围。</w:t>
      </w:r>
    </w:p>
    <w:p>
      <w:pPr>
        <w:pStyle w:val="3"/>
        <w:spacing w:before="300" w:after="120" w:line="288" w:lineRule="auto"/>
        <w:ind w:left="0"/>
        <w:jc w:val="left"/>
        <w:outlineLvl w:val="2"/>
      </w:pPr>
      <w:bookmarkStart w:name="heading_3" w:id="3"/>
      <w:r>
        <w:rPr>
          <w:rFonts w:eastAsia="等线" w:ascii="Arial" w:cs="Arial" w:hAnsi="Arial"/>
          <w:b w:val="true"/>
          <w:sz w:val="30"/>
        </w:rPr>
        <w:t>全方位健康理念传递</w:t>
      </w:r>
      <w:bookmarkEnd w:id="3"/>
    </w:p>
    <w:p>
      <w:pPr>
        <w:numPr>
          <w:numId w:val="14"/>
        </w:numPr>
        <w:spacing w:before="120" w:after="120" w:line="288" w:lineRule="auto"/>
        <w:ind w:left="0"/>
        <w:jc w:val="left"/>
      </w:pPr>
      <w:r>
        <w:rPr>
          <w:rFonts w:eastAsia="等线" w:ascii="Arial" w:cs="Arial" w:hAnsi="Arial"/>
          <w:sz w:val="22"/>
        </w:rPr>
        <w:t>除了对环保议题的关注外，WGSN 和 MitoQ 还发现人们开始积极主动寻求疗愈身心健康的生活方式，例如户外运动、购买保健类食品饮料、尝试瑜珈冥想等。</w:t>
      </w:r>
    </w:p>
    <w:p>
      <w:pPr>
        <w:numPr>
          <w:numId w:val="15"/>
        </w:numPr>
        <w:spacing w:before="120" w:after="120" w:line="288" w:lineRule="auto"/>
        <w:ind w:left="0"/>
        <w:jc w:val="left"/>
      </w:pPr>
      <w:r>
        <w:rPr>
          <w:rFonts w:eastAsia="等线" w:ascii="Arial" w:cs="Arial" w:hAnsi="Arial"/>
          <w:sz w:val="22"/>
        </w:rPr>
        <w:t>「2021 年 McKinsey 针对全球 7500 名受访者的调查，有 79%的人表示 TA 们认为健康很重要， 42%的人将其视为重中之重，其中中国消费者的健康意识已经远超发达国家」。</w:t>
      </w:r>
    </w:p>
    <w:p>
      <w:pPr>
        <w:numPr>
          <w:numId w:val="16"/>
        </w:numPr>
        <w:spacing w:before="120" w:after="120" w:line="288" w:lineRule="auto"/>
        <w:ind w:left="0"/>
        <w:jc w:val="left"/>
      </w:pPr>
      <w:r>
        <w:rPr>
          <w:rFonts w:eastAsia="等线" w:ascii="Arial" w:cs="Arial" w:hAnsi="Arial"/>
          <w:sz w:val="22"/>
        </w:rPr>
        <w:t>对于 MitoQ 的目标人群 Jugglers 先锋尝鲜者来说，TA 们有着非常丰富多彩的事业和生活，往往需要在多个同时进行的项目或任务中，自如地切换并掌控全局。繁忙的生活，高强度的工作都意味着 Jugglers 需要承受更大的压力和负担，健康的身心状态是帮助 TA 们开拓事业、享受生活的必要条件之一。</w:t>
      </w:r>
    </w:p>
    <w:p>
      <w:pPr>
        <w:numPr>
          <w:numId w:val="17"/>
        </w:numPr>
        <w:spacing w:before="120" w:after="120" w:line="288" w:lineRule="auto"/>
        <w:ind w:left="0"/>
        <w:jc w:val="left"/>
      </w:pPr>
      <w:r>
        <w:rPr>
          <w:rFonts w:eastAsia="等线" w:ascii="Arial" w:cs="Arial" w:hAnsi="Arial"/>
          <w:sz w:val="22"/>
        </w:rPr>
        <w:t>MitoQ 一直以来希望给消费者传递的是「全方位健康理念」。MitoQ 认为「改变的过程是悄然发生的，就像从这次锻炼到下次锻炼，你可能不会体会到能量的突然迸发或身体的瞬间改变，但随着细胞的微小变化，身体和大脑会运转的更好。」在 MitoQ 的观念里，健康并不是一蹴而就的事，而是以「健康」为目标，在全方位的工作和生活中养成健康的习惯，让身体在日新月异中保持健康的状态。</w:t>
      </w:r>
    </w:p>
    <w:p>
      <w:pPr>
        <w:numPr>
          <w:numId w:val="18"/>
        </w:numPr>
        <w:spacing w:before="120" w:after="120" w:line="288" w:lineRule="auto"/>
        <w:ind w:left="0"/>
        <w:jc w:val="left"/>
      </w:pPr>
      <w:r>
        <w:rPr>
          <w:rFonts w:eastAsia="等线" w:ascii="Arial" w:cs="Arial" w:hAnsi="Arial"/>
          <w:sz w:val="22"/>
        </w:rPr>
        <w:t>因此，MitoQ 在产品设计思路上，也是想要进入用户的日常生活习惯，以「90」天为一个周期，每天两粒，通过主动的日常维护保证身体的健康。</w:t>
      </w:r>
    </w:p>
    <w:p>
      <w:pPr>
        <w:numPr>
          <w:numId w:val="19"/>
        </w:numPr>
        <w:spacing w:before="120" w:after="120" w:line="288" w:lineRule="auto"/>
        <w:ind w:left="0"/>
        <w:jc w:val="left"/>
      </w:pPr>
      <w:r>
        <w:rPr>
          <w:rFonts w:eastAsia="等线" w:ascii="Arial" w:cs="Arial" w:hAnsi="Arial"/>
          <w:sz w:val="22"/>
        </w:rPr>
        <w:t>为了帮助用户更好的养成日常补给的习惯，MitoQ 在社交平台上写道「养成习惯的最好方式是将新习惯和已经掌握的旧习惯联系起来，例如如果想养成每天服用 MitoQ 的习惯，可以将它放在你常用的水杯旁，每次喝水时都会提醒你。」</w:t>
      </w:r>
    </w:p>
    <w:p>
      <w:pPr>
        <w:numPr>
          <w:numId w:val="20"/>
        </w:numPr>
        <w:spacing w:before="120" w:after="120" w:line="288" w:lineRule="auto"/>
        <w:ind w:left="0"/>
        <w:jc w:val="left"/>
      </w:pPr>
      <w:r>
        <w:rPr>
          <w:rFonts w:eastAsia="等线" w:ascii="Arial" w:cs="Arial" w:hAnsi="Arial"/>
          <w:sz w:val="22"/>
        </w:rPr>
        <w:t>以科技思维出发的 MitoQ 在谈及健康理念时，还强调了品牌与用户之间的「陪伴感」，通过营造良好的社群氛围向消费者传递乐观、积极的情绪。</w:t>
      </w:r>
    </w:p>
    <w:p>
      <w:pPr>
        <w:numPr>
          <w:numId w:val="21"/>
        </w:numPr>
        <w:spacing w:before="120" w:after="120" w:line="288" w:lineRule="auto"/>
        <w:ind w:left="0"/>
        <w:jc w:val="left"/>
      </w:pPr>
      <w:r>
        <w:rPr>
          <w:rFonts w:eastAsia="等线" w:ascii="Arial" w:cs="Arial" w:hAnsi="Arial"/>
          <w:sz w:val="22"/>
        </w:rPr>
        <w:t>自成立以来，MitoQ 邀请了数位品牌大使，营养师兼场地自行车世界杯的金牌得主 Kaytee Boyd、10 枚奥运会奖牌得主 Gary Hall Jr、生物博士兼新西兰女子铁人三项冠军 Hannah Wells 等。TA 们虽然身处不同的领域，但都有着 Jugglers 的共通点，MitoQ 在官网上放出了品牌大使们自述的人生故事，和自身对健康管理的独到见解，以 TA 们「微小」的人生故事向其他的用户们传递对生活的热爱和坚实的勇气。</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5132">
    <w:lvl>
      <w:numFmt w:val="bullet"/>
      <w:suff w:val="tab"/>
      <w:lvlText w:val="•"/>
      <w:rPr>
        <w:color w:val="3370ff"/>
      </w:rPr>
    </w:lvl>
  </w:abstractNum>
  <w:abstractNum w:abstractNumId="195133">
    <w:lvl>
      <w:numFmt w:val="bullet"/>
      <w:suff w:val="tab"/>
      <w:lvlText w:val="•"/>
      <w:rPr>
        <w:color w:val="3370ff"/>
      </w:rPr>
    </w:lvl>
  </w:abstractNum>
  <w:abstractNum w:abstractNumId="195134">
    <w:lvl>
      <w:numFmt w:val="bullet"/>
      <w:suff w:val="tab"/>
      <w:lvlText w:val="•"/>
      <w:rPr>
        <w:color w:val="3370ff"/>
      </w:rPr>
    </w:lvl>
  </w:abstractNum>
  <w:abstractNum w:abstractNumId="195135">
    <w:lvl>
      <w:numFmt w:val="bullet"/>
      <w:suff w:val="tab"/>
      <w:lvlText w:val="•"/>
      <w:rPr>
        <w:color w:val="3370ff"/>
      </w:rPr>
    </w:lvl>
  </w:abstractNum>
  <w:abstractNum w:abstractNumId="195136">
    <w:lvl>
      <w:numFmt w:val="bullet"/>
      <w:suff w:val="tab"/>
      <w:lvlText w:val="•"/>
      <w:rPr>
        <w:color w:val="3370ff"/>
      </w:rPr>
    </w:lvl>
  </w:abstractNum>
  <w:abstractNum w:abstractNumId="195137">
    <w:lvl>
      <w:numFmt w:val="bullet"/>
      <w:suff w:val="tab"/>
      <w:lvlText w:val="•"/>
      <w:rPr>
        <w:color w:val="3370ff"/>
      </w:rPr>
    </w:lvl>
  </w:abstractNum>
  <w:abstractNum w:abstractNumId="195138">
    <w:lvl>
      <w:numFmt w:val="bullet"/>
      <w:suff w:val="tab"/>
      <w:lvlText w:val="•"/>
      <w:rPr>
        <w:color w:val="3370ff"/>
      </w:rPr>
    </w:lvl>
  </w:abstractNum>
  <w:abstractNum w:abstractNumId="195139">
    <w:lvl>
      <w:numFmt w:val="bullet"/>
      <w:suff w:val="tab"/>
      <w:lvlText w:val="•"/>
      <w:rPr>
        <w:color w:val="3370ff"/>
      </w:rPr>
    </w:lvl>
  </w:abstractNum>
  <w:abstractNum w:abstractNumId="195140">
    <w:lvl>
      <w:numFmt w:val="bullet"/>
      <w:suff w:val="tab"/>
      <w:lvlText w:val="•"/>
      <w:rPr>
        <w:color w:val="3370ff"/>
      </w:rPr>
    </w:lvl>
  </w:abstractNum>
  <w:abstractNum w:abstractNumId="195141">
    <w:lvl>
      <w:numFmt w:val="bullet"/>
      <w:suff w:val="tab"/>
      <w:lvlText w:val="•"/>
      <w:rPr>
        <w:color w:val="3370ff"/>
      </w:rPr>
    </w:lvl>
  </w:abstractNum>
  <w:abstractNum w:abstractNumId="195142">
    <w:lvl>
      <w:numFmt w:val="bullet"/>
      <w:suff w:val="tab"/>
      <w:lvlText w:val="•"/>
      <w:rPr>
        <w:color w:val="3370ff"/>
      </w:rPr>
    </w:lvl>
  </w:abstractNum>
  <w:abstractNum w:abstractNumId="195143">
    <w:lvl>
      <w:numFmt w:val="bullet"/>
      <w:suff w:val="tab"/>
      <w:lvlText w:val="•"/>
      <w:rPr>
        <w:color w:val="3370ff"/>
      </w:rPr>
    </w:lvl>
  </w:abstractNum>
  <w:abstractNum w:abstractNumId="195144">
    <w:lvl>
      <w:numFmt w:val="bullet"/>
      <w:suff w:val="tab"/>
      <w:lvlText w:val="•"/>
      <w:rPr>
        <w:color w:val="3370ff"/>
      </w:rPr>
    </w:lvl>
  </w:abstractNum>
  <w:abstractNum w:abstractNumId="195145">
    <w:lvl>
      <w:numFmt w:val="bullet"/>
      <w:suff w:val="tab"/>
      <w:lvlText w:val="•"/>
      <w:rPr>
        <w:color w:val="3370ff"/>
      </w:rPr>
    </w:lvl>
  </w:abstractNum>
  <w:abstractNum w:abstractNumId="195146">
    <w:lvl>
      <w:numFmt w:val="bullet"/>
      <w:suff w:val="tab"/>
      <w:lvlText w:val="•"/>
      <w:rPr>
        <w:color w:val="3370ff"/>
      </w:rPr>
    </w:lvl>
  </w:abstractNum>
  <w:abstractNum w:abstractNumId="195147">
    <w:lvl>
      <w:numFmt w:val="bullet"/>
      <w:suff w:val="tab"/>
      <w:lvlText w:val="•"/>
      <w:rPr>
        <w:color w:val="3370ff"/>
      </w:rPr>
    </w:lvl>
  </w:abstractNum>
  <w:abstractNum w:abstractNumId="195148">
    <w:lvl>
      <w:numFmt w:val="bullet"/>
      <w:suff w:val="tab"/>
      <w:lvlText w:val="•"/>
      <w:rPr>
        <w:color w:val="3370ff"/>
      </w:rPr>
    </w:lvl>
  </w:abstractNum>
  <w:abstractNum w:abstractNumId="195149">
    <w:lvl>
      <w:numFmt w:val="bullet"/>
      <w:suff w:val="tab"/>
      <w:lvlText w:val="•"/>
      <w:rPr>
        <w:color w:val="3370ff"/>
      </w:rPr>
    </w:lvl>
  </w:abstractNum>
  <w:abstractNum w:abstractNumId="195150">
    <w:lvl>
      <w:numFmt w:val="bullet"/>
      <w:suff w:val="tab"/>
      <w:lvlText w:val="•"/>
      <w:rPr>
        <w:color w:val="3370ff"/>
      </w:rPr>
    </w:lvl>
  </w:abstractNum>
  <w:abstractNum w:abstractNumId="195151">
    <w:lvl>
      <w:numFmt w:val="bullet"/>
      <w:suff w:val="tab"/>
      <w:lvlText w:val="•"/>
      <w:rPr>
        <w:color w:val="3370ff"/>
      </w:rPr>
    </w:lvl>
  </w:abstractNum>
  <w:abstractNum w:abstractNumId="195152">
    <w:lvl>
      <w:numFmt w:val="bullet"/>
      <w:suff w:val="tab"/>
      <w:lvlText w:val="•"/>
      <w:rPr>
        <w:color w:val="3370ff"/>
      </w:rPr>
    </w:lvl>
  </w:abstractNum>
  <w:num w:numId="1">
    <w:abstractNumId w:val="195132"/>
  </w:num>
  <w:num w:numId="2">
    <w:abstractNumId w:val="195133"/>
  </w:num>
  <w:num w:numId="3">
    <w:abstractNumId w:val="195134"/>
  </w:num>
  <w:num w:numId="4">
    <w:abstractNumId w:val="195135"/>
  </w:num>
  <w:num w:numId="5">
    <w:abstractNumId w:val="195136"/>
  </w:num>
  <w:num w:numId="6">
    <w:abstractNumId w:val="195137"/>
  </w:num>
  <w:num w:numId="7">
    <w:abstractNumId w:val="195138"/>
  </w:num>
  <w:num w:numId="8">
    <w:abstractNumId w:val="195139"/>
  </w:num>
  <w:num w:numId="9">
    <w:abstractNumId w:val="195140"/>
  </w:num>
  <w:num w:numId="10">
    <w:abstractNumId w:val="195141"/>
  </w:num>
  <w:num w:numId="11">
    <w:abstractNumId w:val="195142"/>
  </w:num>
  <w:num w:numId="12">
    <w:abstractNumId w:val="195143"/>
  </w:num>
  <w:num w:numId="13">
    <w:abstractNumId w:val="195144"/>
  </w:num>
  <w:num w:numId="14">
    <w:abstractNumId w:val="195145"/>
  </w:num>
  <w:num w:numId="15">
    <w:abstractNumId w:val="195146"/>
  </w:num>
  <w:num w:numId="16">
    <w:abstractNumId w:val="195147"/>
  </w:num>
  <w:num w:numId="17">
    <w:abstractNumId w:val="195148"/>
  </w:num>
  <w:num w:numId="18">
    <w:abstractNumId w:val="195149"/>
  </w:num>
  <w:num w:numId="19">
    <w:abstractNumId w:val="195150"/>
  </w:num>
  <w:num w:numId="20">
    <w:abstractNumId w:val="195151"/>
  </w:num>
  <w:num w:numId="21">
    <w:abstractNumId w:val="19515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2025-08-09T14:34:40Z</dcterms:created>
  <dc:creator>Apache POI</dc:creator>
</cp:coreProperties>
</file>