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《小红书：食饮行业消费者变化下的品牌营销新路径与战略意义》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以下是为你提取的高度相关内容，主要围绕食饮行业消费者变化、小红书对食饮品牌的价值以及品牌在小红书的实践路径等方面：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食饮行业消费者变化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沟通方式错位</w:t>
      </w:r>
      <w:r>
        <w:rPr>
          <w:rFonts w:eastAsia="等线" w:ascii="Arial" w:cs="Arial" w:hAnsi="Arial"/>
          <w:sz w:val="22"/>
        </w:rPr>
        <w:t>：传统营销中品牌习惯直接“告知”产品优势，如今消费者更倾向主动“发现”产品价值。2024年食品饮料行业推出约6万个新品，多数陷入“上市即滞销”困境，饮料赛道存活超6个月的新品不足两成。消费者从“我有什么”逻辑转向“我要什么体验”需求表达，渴望自身探索契合生活、情感需求的产品价值点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决策路径重塑</w:t>
      </w:r>
      <w:r>
        <w:rPr>
          <w:rFonts w:eastAsia="等线" w:ascii="Arial" w:cs="Arial" w:hAnsi="Arial"/>
          <w:sz w:val="22"/>
        </w:rPr>
        <w:t>：过去消费链路是“我需要 - 我寻找 - 我选择”，如今“我看到 - 我被吸引 - 我想试试”成主流。小红书沉浸式“种草”内容生态与真实多元社区氛围为新路径提供土壤，用户浏览中“被吸引”是决策触发点。如卡士捕捉年轻消费者“微醺”和“轻社交”情绪消费趋势，打造“酸奶调酒”新场景，推动新品007小奶罐破亿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信任成本模式倒置</w:t>
      </w:r>
      <w:r>
        <w:rPr>
          <w:rFonts w:eastAsia="等线" w:ascii="Arial" w:cs="Arial" w:hAnsi="Arial"/>
          <w:sz w:val="22"/>
        </w:rPr>
        <w:t>：传统营销依赖“砸钱”获取流量和注意力，关系是“消耗性”的，难沉淀长期稳定关系。新一代消费者渴望基于“价值共创”与品牌建立关系，期待被倾听、尊重，参与品牌建设，这种关系是“积累性”的，需品牌真诚互动积累信任资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小红书对食饮品牌的价值</w:t>
      </w:r>
      <w:bookmarkEnd w:id="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“新品”与“心品”传播沃土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小红书独特社区生态深化对食品饮料品牌营销价值，成为推广新品、建立情感连接首选平台。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是品牌内容共创者和趋势引领者，能为“新品”延伸价值点。千瓜数据显示平台内90%内容由普通用户主动生成，如“蜜雪冰城做菜”潮流带动相关话题热度破百万，推动品牌转变。用户从“消费终端”升级为“价值传播节点”和“品牌故事共同叙述者”，提升食饮品牌新品上市成功率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红书是生活方式策源地和验证场，也是“心品”传播沃土。如阿莹麦茶围绕用户兴趣和生活场景展开内容叙事。小红书助力品牌从“一次性触达”向“持续性关系”跃迁，65%食饮用户愿尝试新品并找小众独特产品，63%用户会参与新品表达与反馈，用户易进入“被看见 - 被验证 - 被共鸣”闭环路径。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为不同品牌提供差异化核心价值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是中小品牌低成本感知市场风向的“前沿哨所”。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是新锐产品依托素人真实测评、热榜爆发力及长尾流量滋养，实现高存活率的“新品孵化器”。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是高端品牌传递深度叙事、摆脱促销依赖、建立情感连接的“价值共鸣场”。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品牌在小红书的实践路径</w:t>
      </w:r>
      <w:bookmarkEnd w:id="2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让用户成为新产品“共同发明者”</w:t>
      </w:r>
      <w:r>
        <w:rPr>
          <w:rFonts w:eastAsia="等线" w:ascii="Arial" w:cs="Arial" w:hAnsi="Arial"/>
          <w:sz w:val="22"/>
        </w:rPr>
        <w:t>：推陈出新的食饮品牌借助小红书“新品榜单×内容矩阵×尝试&amp;推荐”链路，完成新品存活“压力测试”，使新品更易被消费者看见。如法国乳制品品牌Kiri锚定“下午茶”人群，结合热点趋势挖掘法式下午茶核心场景，用创新派样方式让用户从“试用者”变为“体验分享者”，塑造新品“可感知的治愈感”，使甜心小酪站内搜索翻倍增长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构建高端感知氛围完成种草</w:t>
      </w:r>
      <w:r>
        <w:rPr>
          <w:rFonts w:eastAsia="等线" w:ascii="Arial" w:cs="Arial" w:hAnsi="Arial"/>
          <w:sz w:val="22"/>
        </w:rPr>
        <w:t>：更具故事感及品质感的品牌通过“溯源场景、文化科普、垂类知识共享”等内容构建高端感知氛围，结合口碑管理让用户感知文化仪式与身份认同。如主打健康养生的So Acai构建文化认同感，精选产品组成矩阵，科普健康知识，融合“笔记 + 直播 + 社群”渠道，实现从产品消费到文化共鸣的跃升。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突破认知壁垒建立深度连接</w:t>
      </w:r>
      <w:r>
        <w:rPr>
          <w:rFonts w:eastAsia="等线" w:ascii="Arial" w:cs="Arial" w:hAnsi="Arial"/>
          <w:sz w:val="22"/>
        </w:rPr>
        <w:t>：寻求突破的品牌利用小红书洞察用户需求、构建核心认知、引导转化。如唐胡里奥洞察用户需求，构建“好基酒 = 唐胡里奥 = 好鸡尾酒”认知链条，结合调酒大赛将线上种草人群转化为实际消费人群，强化产品“进阶特调”用户心智。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小红书对食饮品牌的战略意义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传统营销边际效益衰减、流量成本高，品牌面临战略抉择。小红书跃升为重构用户关系、共创消费新叙事的核心场域，品牌应选择“陪伴”用户、进行“生态共建”。小红书梳理食饮品牌破局增量关键路径与实战策略，联合尼尔森IQ推出《新与心，2025大食饮行业消费者心智及决策链路研究白皮书》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0954">
    <w:lvl>
      <w:start w:val="1"/>
      <w:numFmt w:val="decimal"/>
      <w:suff w:val="tab"/>
      <w:lvlText w:val="%1."/>
      <w:rPr>
        <w:color w:val="3370ff"/>
      </w:rPr>
    </w:lvl>
  </w:abstractNum>
  <w:abstractNum w:abstractNumId="190955">
    <w:lvl>
      <w:start w:val="2"/>
      <w:numFmt w:val="decimal"/>
      <w:suff w:val="tab"/>
      <w:lvlText w:val="%1."/>
      <w:rPr>
        <w:color w:val="3370ff"/>
      </w:rPr>
    </w:lvl>
  </w:abstractNum>
  <w:abstractNum w:abstractNumId="190956">
    <w:lvl>
      <w:start w:val="3"/>
      <w:numFmt w:val="decimal"/>
      <w:suff w:val="tab"/>
      <w:lvlText w:val="%1."/>
      <w:rPr>
        <w:color w:val="3370ff"/>
      </w:rPr>
    </w:lvl>
  </w:abstractNum>
  <w:abstractNum w:abstractNumId="190957">
    <w:lvl>
      <w:start w:val="1"/>
      <w:numFmt w:val="decimal"/>
      <w:suff w:val="tab"/>
      <w:lvlText w:val="%1."/>
      <w:rPr>
        <w:color w:val="3370ff"/>
      </w:rPr>
    </w:lvl>
  </w:abstractNum>
  <w:abstractNum w:abstractNumId="190958">
    <w:lvl>
      <w:numFmt w:val="bullet"/>
      <w:suff w:val="tab"/>
      <w:lvlText w:val="￮"/>
      <w:rPr>
        <w:color w:val="3370ff"/>
      </w:rPr>
    </w:lvl>
  </w:abstractNum>
  <w:abstractNum w:abstractNumId="190959">
    <w:lvl>
      <w:numFmt w:val="bullet"/>
      <w:suff w:val="tab"/>
      <w:lvlText w:val="￮"/>
      <w:rPr>
        <w:color w:val="3370ff"/>
      </w:rPr>
    </w:lvl>
  </w:abstractNum>
  <w:abstractNum w:abstractNumId="190960">
    <w:lvl>
      <w:numFmt w:val="bullet"/>
      <w:suff w:val="tab"/>
      <w:lvlText w:val="￮"/>
      <w:rPr>
        <w:color w:val="3370ff"/>
      </w:rPr>
    </w:lvl>
  </w:abstractNum>
  <w:abstractNum w:abstractNumId="190961">
    <w:lvl>
      <w:start w:val="2"/>
      <w:numFmt w:val="decimal"/>
      <w:suff w:val="tab"/>
      <w:lvlText w:val="%1."/>
      <w:rPr>
        <w:color w:val="3370ff"/>
      </w:rPr>
    </w:lvl>
  </w:abstractNum>
  <w:abstractNum w:abstractNumId="190962">
    <w:lvl>
      <w:numFmt w:val="bullet"/>
      <w:suff w:val="tab"/>
      <w:lvlText w:val="￮"/>
      <w:rPr>
        <w:color w:val="3370ff"/>
      </w:rPr>
    </w:lvl>
  </w:abstractNum>
  <w:abstractNum w:abstractNumId="190963">
    <w:lvl>
      <w:numFmt w:val="bullet"/>
      <w:suff w:val="tab"/>
      <w:lvlText w:val="￮"/>
      <w:rPr>
        <w:color w:val="3370ff"/>
      </w:rPr>
    </w:lvl>
  </w:abstractNum>
  <w:abstractNum w:abstractNumId="190964">
    <w:lvl>
      <w:numFmt w:val="bullet"/>
      <w:suff w:val="tab"/>
      <w:lvlText w:val="￮"/>
      <w:rPr>
        <w:color w:val="3370ff"/>
      </w:rPr>
    </w:lvl>
  </w:abstractNum>
  <w:abstractNum w:abstractNumId="190965">
    <w:lvl>
      <w:start w:val="1"/>
      <w:numFmt w:val="decimal"/>
      <w:suff w:val="tab"/>
      <w:lvlText w:val="%1."/>
      <w:rPr>
        <w:color w:val="3370ff"/>
      </w:rPr>
    </w:lvl>
  </w:abstractNum>
  <w:abstractNum w:abstractNumId="190966">
    <w:lvl>
      <w:start w:val="2"/>
      <w:numFmt w:val="decimal"/>
      <w:suff w:val="tab"/>
      <w:lvlText w:val="%1."/>
      <w:rPr>
        <w:color w:val="3370ff"/>
      </w:rPr>
    </w:lvl>
  </w:abstractNum>
  <w:abstractNum w:abstractNumId="19096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90954"/>
  </w:num>
  <w:num w:numId="2">
    <w:abstractNumId w:val="190955"/>
  </w:num>
  <w:num w:numId="3">
    <w:abstractNumId w:val="190956"/>
  </w:num>
  <w:num w:numId="4">
    <w:abstractNumId w:val="190957"/>
  </w:num>
  <w:num w:numId="5">
    <w:abstractNumId w:val="190958"/>
  </w:num>
  <w:num w:numId="6">
    <w:abstractNumId w:val="190959"/>
  </w:num>
  <w:num w:numId="7">
    <w:abstractNumId w:val="190960"/>
  </w:num>
  <w:num w:numId="8">
    <w:abstractNumId w:val="190961"/>
  </w:num>
  <w:num w:numId="9">
    <w:abstractNumId w:val="190962"/>
  </w:num>
  <w:num w:numId="10">
    <w:abstractNumId w:val="190963"/>
  </w:num>
  <w:num w:numId="11">
    <w:abstractNumId w:val="190964"/>
  </w:num>
  <w:num w:numId="12">
    <w:abstractNumId w:val="190965"/>
  </w:num>
  <w:num w:numId="13">
    <w:abstractNumId w:val="190966"/>
  </w:num>
  <w:num w:numId="14">
    <w:abstractNumId w:val="1909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2025-08-09T11:10:22Z</dcterms:created>
  <dc:creator>Apache POI</dc:creator>
</cp:coreProperties>
</file>