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3FFF01" w14:textId="77777777" w:rsidR="0025680F" w:rsidRDefault="00D201ED">
      <w:pPr>
        <w:keepNext/>
        <w:keepLines/>
        <w:spacing w:before="340" w:after="330" w:line="576" w:lineRule="auto"/>
        <w:jc w:val="center"/>
        <w:outlineLvl w:val="0"/>
        <w:rPr>
          <w:b/>
          <w:kern w:val="44"/>
          <w:sz w:val="28"/>
          <w:szCs w:val="28"/>
        </w:rPr>
      </w:pPr>
      <w:bookmarkStart w:id="0" w:name="_Toc679433212"/>
      <w:r w:rsidRPr="0057789F">
        <w:rPr>
          <w:rFonts w:ascii="黑体" w:eastAsia="黑体" w:hAnsi="黑体" w:cs="黑体" w:hint="eastAsia"/>
          <w:kern w:val="44"/>
          <w:sz w:val="32"/>
          <w:szCs w:val="32"/>
        </w:rPr>
        <w:t xml:space="preserve">B11 </w:t>
      </w:r>
      <w:r w:rsidRPr="0057789F">
        <w:rPr>
          <w:rFonts w:ascii="黑体" w:eastAsia="黑体" w:hAnsi="黑体" w:cs="黑体" w:hint="eastAsia"/>
          <w:kern w:val="44"/>
          <w:sz w:val="32"/>
          <w:szCs w:val="32"/>
        </w:rPr>
        <w:t>交通系统危机应对能力排行及评价</w:t>
      </w:r>
      <w:bookmarkEnd w:id="0"/>
    </w:p>
    <w:p w14:paraId="54C3ED59" w14:textId="63E759A5" w:rsidR="0025680F" w:rsidRDefault="00D201ED" w:rsidP="00267E9B">
      <w:pPr>
        <w:rPr>
          <w:rFonts w:hint="eastAsia"/>
        </w:rPr>
      </w:pPr>
      <w:r>
        <w:rPr>
          <w:rFonts w:hint="eastAsia"/>
        </w:rPr>
        <w:t>摘要：本研究基于北京交通大学交通舆情研究中心构建的危机事件库，系统评估了</w:t>
      </w:r>
      <w:r>
        <w:rPr>
          <w:rFonts w:hint="eastAsia"/>
        </w:rPr>
        <w:t>2021</w:t>
      </w:r>
      <w:r>
        <w:rPr>
          <w:rFonts w:hint="eastAsia"/>
        </w:rPr>
        <w:t>年至</w:t>
      </w:r>
      <w:r>
        <w:rPr>
          <w:rFonts w:hint="eastAsia"/>
        </w:rPr>
        <w:t>2025</w:t>
      </w:r>
      <w:r>
        <w:rPr>
          <w:rFonts w:hint="eastAsia"/>
        </w:rPr>
        <w:t>年间中国交通系统（主要涵盖铁路局、航空公司及机场）的危机应对能力。研究构建了包含发声时间、发声主体、发布渠道、危机应对策略及效果评价五个一级指标的多维评价体系，重点关注信息发布、舆论引导、利益相关者沟通和事件处置等核心能力。研究发现，交通系统在响应速度和事实澄清方面表现较好，但在情感共鸣、道歉担责和价值沟通等维度普遍存在短板，导致次生舆情频发和公众认同度不足。铁路系统中上海铁路局位列第一，航空方面东方航空领先，机场中</w:t>
      </w:r>
      <w:r>
        <w:rPr>
          <w:rFonts w:hint="eastAsia"/>
        </w:rPr>
        <w:t>上海机场集团表现最佳。研究建议交通系统需从“事理澄清”向“事心双解”转型，强化权威发声、情感表达与闭环管理，以提升整体危机应对效能。</w:t>
      </w:r>
    </w:p>
    <w:p w14:paraId="0EBBCC32" w14:textId="1E1D1CE5" w:rsidR="0025680F" w:rsidRDefault="00D201ED">
      <w:r>
        <w:rPr>
          <w:rFonts w:hint="eastAsia"/>
        </w:rPr>
        <w:t>关键词：危机应对</w:t>
      </w:r>
      <w:r>
        <w:rPr>
          <w:rFonts w:hint="eastAsia"/>
        </w:rPr>
        <w:t xml:space="preserve"> </w:t>
      </w:r>
      <w:r>
        <w:rPr>
          <w:rFonts w:hint="eastAsia"/>
        </w:rPr>
        <w:t>交通系统</w:t>
      </w:r>
      <w:r>
        <w:rPr>
          <w:rFonts w:hint="eastAsia"/>
        </w:rPr>
        <w:t xml:space="preserve"> </w:t>
      </w:r>
      <w:r>
        <w:rPr>
          <w:rFonts w:hint="eastAsia"/>
        </w:rPr>
        <w:t>舆情治理</w:t>
      </w:r>
      <w:r w:rsidR="00267E9B">
        <w:rPr>
          <w:rFonts w:hint="eastAsia"/>
        </w:rPr>
        <w:t xml:space="preserve"> </w:t>
      </w:r>
    </w:p>
    <w:p w14:paraId="0DB2A0FB" w14:textId="77777777" w:rsidR="0025680F" w:rsidRDefault="0025680F"/>
    <w:p w14:paraId="17E5F735" w14:textId="77777777" w:rsidR="0025680F" w:rsidRDefault="00D201ED">
      <w:pPr>
        <w:pStyle w:val="3"/>
        <w:numPr>
          <w:ilvl w:val="0"/>
          <w:numId w:val="0"/>
        </w:numPr>
      </w:pPr>
      <w:r>
        <w:rPr>
          <w:rFonts w:hint="eastAsia"/>
        </w:rPr>
        <w:t>一、</w:t>
      </w:r>
      <w:r>
        <w:rPr>
          <w:rFonts w:hint="eastAsia"/>
        </w:rPr>
        <w:t>危机应对能力定义</w:t>
      </w:r>
    </w:p>
    <w:p w14:paraId="48D7200F" w14:textId="77777777" w:rsidR="0025680F" w:rsidRDefault="00D201ED">
      <w:pPr>
        <w:ind w:firstLineChars="200" w:firstLine="480"/>
      </w:pPr>
      <w:r>
        <w:rPr>
          <w:rFonts w:hint="eastAsia"/>
        </w:rPr>
        <w:t>一个完整的危机管理通常包含预警、应对和恢复三个层面</w:t>
      </w:r>
      <w:r>
        <w:rPr>
          <w:rFonts w:hint="eastAsia"/>
          <w:vertAlign w:val="superscript"/>
        </w:rPr>
        <w:footnoteReference w:id="1"/>
      </w:r>
      <w:r>
        <w:rPr>
          <w:rFonts w:hint="eastAsia"/>
        </w:rPr>
        <w:t>，本研究重点放在危机应对能力，主要考察危机发生后，信息发布、舆论引导、利益相关者沟通、事件处置等方面的能力。</w:t>
      </w:r>
    </w:p>
    <w:p w14:paraId="4C20E9F0" w14:textId="77777777" w:rsidR="0025680F" w:rsidRDefault="00D201ED">
      <w:pPr>
        <w:ind w:firstLineChars="200" w:firstLine="480"/>
      </w:pPr>
      <w:r>
        <w:rPr>
          <w:rFonts w:hint="eastAsia"/>
        </w:rPr>
        <w:t>在危机爆发后，有效的应对能力主要体现在以下几个核心维度：信息发布要求组织能够及时、准确、透明地向内外传递信息，以掌握舆论主导</w:t>
      </w:r>
      <w:r>
        <w:rPr>
          <w:rFonts w:hint="eastAsia"/>
        </w:rPr>
        <w:t>权</w:t>
      </w:r>
      <w:r>
        <w:rPr>
          <w:rFonts w:hint="eastAsia"/>
          <w:vertAlign w:val="superscript"/>
        </w:rPr>
        <w:footnoteReference w:id="2"/>
      </w:r>
      <w:r>
        <w:rPr>
          <w:rFonts w:hint="eastAsia"/>
        </w:rPr>
        <w:t>；舆论引导则强调主动监测舆情动态，通过权威发声减少误解，维护组织公信力</w:t>
      </w:r>
      <w:r>
        <w:rPr>
          <w:rFonts w:hint="eastAsia"/>
          <w:vertAlign w:val="superscript"/>
        </w:rPr>
        <w:footnoteReference w:id="3"/>
      </w:r>
      <w:r>
        <w:rPr>
          <w:rFonts w:hint="eastAsia"/>
        </w:rPr>
        <w:t>；利益相关者沟通注重与员工、客户、媒体等群体建立双向对话，维持信任关系</w:t>
      </w:r>
      <w:r>
        <w:rPr>
          <w:rFonts w:hint="eastAsia"/>
          <w:vertAlign w:val="superscript"/>
        </w:rPr>
        <w:footnoteReference w:id="4"/>
      </w:r>
      <w:r>
        <w:rPr>
          <w:rFonts w:hint="eastAsia"/>
        </w:rPr>
        <w:t>；而事件处置则关乎快速启动预案、调配资源并协同行动，以控制事态、降低损失。这些维度相互关联，共同构成一个动态的有机整体。</w:t>
      </w:r>
    </w:p>
    <w:p w14:paraId="75E3FEDE" w14:textId="77777777" w:rsidR="0025680F" w:rsidRDefault="00D201ED">
      <w:pPr>
        <w:pStyle w:val="3"/>
        <w:numPr>
          <w:ilvl w:val="0"/>
          <w:numId w:val="0"/>
        </w:numPr>
      </w:pPr>
      <w:r>
        <w:rPr>
          <w:rFonts w:hint="eastAsia"/>
        </w:rPr>
        <w:lastRenderedPageBreak/>
        <w:t>二、</w:t>
      </w:r>
      <w:r>
        <w:rPr>
          <w:rFonts w:hint="eastAsia"/>
        </w:rPr>
        <w:t>指标说明</w:t>
      </w:r>
    </w:p>
    <w:p w14:paraId="08C73F99" w14:textId="77777777" w:rsidR="0025680F" w:rsidRDefault="00D201ED">
      <w:r>
        <w:rPr>
          <w:rFonts w:hint="eastAsia"/>
        </w:rPr>
        <w:t>本报告构建了一套包含五个一级指标和十个二级指标的评价体系，用以系统评估危机应对能力。五个核心维度包括发声时间、发声主体、发布渠道、危机应对策略及效果评价。其中，危机应对策略下设三个关键二级指标：事实澄清、道歉担责和情感态度</w:t>
      </w:r>
      <w:r>
        <w:rPr>
          <w:rFonts w:hint="eastAsia"/>
        </w:rPr>
        <w:t>。这一设计基于胡百精提出的危机传播事实价值二分法理论</w:t>
      </w:r>
      <w:r>
        <w:rPr>
          <w:rStyle w:val="a6"/>
          <w:rFonts w:hint="eastAsia"/>
        </w:rPr>
        <w:footnoteReference w:id="5"/>
      </w:r>
      <w:r>
        <w:rPr>
          <w:rFonts w:hint="eastAsia"/>
        </w:rPr>
        <w:t>，既关注对事件核心问题的准确说明，也重视在价值层面表达责任关怀与情感共鸣。实践中，许多主体能够完成事实澄清，却因在担责道歉和情感沟通上表现迟疑，反而引发更强烈的舆论反弹。</w:t>
      </w:r>
    </w:p>
    <w:p w14:paraId="3CA55ABE" w14:textId="77777777" w:rsidR="0025680F" w:rsidRDefault="00D201ED">
      <w:r>
        <w:rPr>
          <w:rFonts w:hint="eastAsia"/>
        </w:rPr>
        <w:t>在效果评价方面，本研究创新性地提出了三维衡量指标：公众态度、次生舆情和生存时间。有效的危机应对不仅要获得公众舆论的短期支持，更要避免引发二次舆情危机，同时显著缩短危机的舆论存活周期。这一多维评价体系突破传统单一效果测量的局限，能够更全面、立体地反映危机应对的实际成效，为组织提升危机管</w:t>
      </w:r>
      <w:r>
        <w:rPr>
          <w:rFonts w:hint="eastAsia"/>
        </w:rPr>
        <w:t>理能力提供了科学全面的评估框架。</w:t>
      </w:r>
    </w:p>
    <w:p w14:paraId="09E8D0C2" w14:textId="77777777" w:rsidR="0025680F" w:rsidRDefault="00D201ED">
      <w:pPr>
        <w:pStyle w:val="a3"/>
        <w:ind w:firstLineChars="200" w:firstLine="480"/>
        <w:jc w:val="center"/>
        <w:rPr>
          <w:rFonts w:ascii="方正仿宋_GB2312" w:eastAsia="方正仿宋_GB2312" w:hAnsi="方正仿宋_GB2312"/>
        </w:rPr>
      </w:pPr>
      <w:r>
        <w:rPr>
          <w:rFonts w:ascii="方正仿宋_GB2312" w:eastAsia="方正仿宋_GB2312" w:hAnsi="方正仿宋_GB2312" w:hint="eastAsia"/>
        </w:rPr>
        <w:t>表</w:t>
      </w:r>
      <w:r>
        <w:rPr>
          <w:rStyle w:val="a5"/>
          <w:rFonts w:ascii="方正仿宋_GB2312" w:eastAsia="方正仿宋_GB2312" w:hAnsi="方正仿宋_GB2312" w:hint="eastAsia"/>
        </w:rPr>
        <w:t>1</w:t>
      </w:r>
      <w:r>
        <w:rPr>
          <w:rFonts w:ascii="方正仿宋_GB2312" w:eastAsia="方正仿宋_GB2312" w:hAnsi="方正仿宋_GB2312" w:hint="eastAsia"/>
        </w:rPr>
        <w:t xml:space="preserve"> </w:t>
      </w:r>
      <w:r>
        <w:rPr>
          <w:rFonts w:ascii="方正仿宋_GB2312" w:eastAsia="方正仿宋_GB2312" w:hAnsi="方正仿宋_GB2312" w:hint="eastAsia"/>
        </w:rPr>
        <w:t>危机应对能力评价指标</w:t>
      </w:r>
    </w:p>
    <w:tbl>
      <w:tblPr>
        <w:tblW w:w="10533" w:type="dxa"/>
        <w:jc w:val="center"/>
        <w:tblLayout w:type="fixed"/>
        <w:tblCellMar>
          <w:top w:w="45" w:type="dxa"/>
          <w:left w:w="96" w:type="dxa"/>
          <w:bottom w:w="45" w:type="dxa"/>
          <w:right w:w="96" w:type="dxa"/>
        </w:tblCellMar>
        <w:tblLook w:val="04A0" w:firstRow="1" w:lastRow="0" w:firstColumn="1" w:lastColumn="0" w:noHBand="0" w:noVBand="1"/>
      </w:tblPr>
      <w:tblGrid>
        <w:gridCol w:w="1390"/>
        <w:gridCol w:w="1507"/>
        <w:gridCol w:w="1163"/>
        <w:gridCol w:w="3084"/>
        <w:gridCol w:w="3389"/>
      </w:tblGrid>
      <w:tr w:rsidR="0025680F" w14:paraId="500FEF10" w14:textId="77777777">
        <w:trPr>
          <w:tblHeader/>
          <w:jc w:val="center"/>
        </w:trPr>
        <w:tc>
          <w:tcPr>
            <w:tcW w:w="1390" w:type="dxa"/>
            <w:tcBorders>
              <w:top w:val="single" w:sz="12" w:space="0" w:color="auto"/>
              <w:left w:val="nil"/>
              <w:bottom w:val="single" w:sz="4" w:space="0" w:color="auto"/>
              <w:right w:val="nil"/>
            </w:tcBorders>
            <w:shd w:val="clear" w:color="auto" w:fill="auto"/>
            <w:vAlign w:val="center"/>
          </w:tcPr>
          <w:p w14:paraId="05D12B2A" w14:textId="77777777" w:rsidR="0025680F" w:rsidRDefault="00D201ED">
            <w:pPr>
              <w:widowControl/>
              <w:snapToGrid w:val="0"/>
              <w:jc w:val="center"/>
              <w:textAlignment w:val="center"/>
              <w:rPr>
                <w:b/>
                <w:bCs/>
                <w:color w:val="000000"/>
                <w:sz w:val="15"/>
                <w:szCs w:val="15"/>
              </w:rPr>
            </w:pPr>
            <w:r>
              <w:rPr>
                <w:rFonts w:hint="eastAsia"/>
                <w:b/>
                <w:bCs/>
                <w:color w:val="000000"/>
                <w:kern w:val="0"/>
                <w:sz w:val="15"/>
                <w:szCs w:val="15"/>
                <w:lang w:bidi="ar"/>
              </w:rPr>
              <w:t>一级指标</w:t>
            </w:r>
          </w:p>
        </w:tc>
        <w:tc>
          <w:tcPr>
            <w:tcW w:w="1507" w:type="dxa"/>
            <w:tcBorders>
              <w:top w:val="single" w:sz="12" w:space="0" w:color="auto"/>
              <w:left w:val="nil"/>
              <w:bottom w:val="single" w:sz="4" w:space="0" w:color="auto"/>
              <w:right w:val="nil"/>
            </w:tcBorders>
            <w:shd w:val="clear" w:color="auto" w:fill="auto"/>
            <w:vAlign w:val="center"/>
          </w:tcPr>
          <w:p w14:paraId="04900263" w14:textId="77777777" w:rsidR="0025680F" w:rsidRDefault="00D201ED">
            <w:pPr>
              <w:widowControl/>
              <w:snapToGrid w:val="0"/>
              <w:jc w:val="center"/>
              <w:textAlignment w:val="center"/>
              <w:rPr>
                <w:b/>
                <w:bCs/>
                <w:color w:val="000000"/>
                <w:sz w:val="15"/>
                <w:szCs w:val="15"/>
              </w:rPr>
            </w:pPr>
            <w:r>
              <w:rPr>
                <w:rFonts w:hint="eastAsia"/>
                <w:b/>
                <w:bCs/>
                <w:color w:val="000000"/>
                <w:kern w:val="0"/>
                <w:sz w:val="15"/>
                <w:szCs w:val="15"/>
                <w:lang w:bidi="ar"/>
              </w:rPr>
              <w:t>二级指标</w:t>
            </w:r>
          </w:p>
        </w:tc>
        <w:tc>
          <w:tcPr>
            <w:tcW w:w="1163" w:type="dxa"/>
            <w:tcBorders>
              <w:top w:val="single" w:sz="12" w:space="0" w:color="auto"/>
              <w:left w:val="nil"/>
              <w:bottom w:val="single" w:sz="4" w:space="0" w:color="auto"/>
              <w:right w:val="nil"/>
            </w:tcBorders>
            <w:shd w:val="clear" w:color="auto" w:fill="auto"/>
            <w:vAlign w:val="center"/>
          </w:tcPr>
          <w:p w14:paraId="4B87C49D" w14:textId="77777777" w:rsidR="0025680F" w:rsidRDefault="00D201ED">
            <w:pPr>
              <w:widowControl/>
              <w:snapToGrid w:val="0"/>
              <w:jc w:val="center"/>
              <w:textAlignment w:val="center"/>
              <w:rPr>
                <w:b/>
                <w:bCs/>
                <w:color w:val="000000"/>
                <w:kern w:val="0"/>
                <w:sz w:val="15"/>
                <w:szCs w:val="15"/>
                <w:lang w:bidi="ar"/>
              </w:rPr>
            </w:pPr>
            <w:r>
              <w:rPr>
                <w:rFonts w:hint="eastAsia"/>
                <w:b/>
                <w:bCs/>
                <w:color w:val="000000"/>
                <w:kern w:val="0"/>
                <w:sz w:val="15"/>
                <w:szCs w:val="15"/>
                <w:lang w:bidi="ar"/>
              </w:rPr>
              <w:t>权重</w:t>
            </w:r>
          </w:p>
          <w:p w14:paraId="3FFC651D" w14:textId="77777777" w:rsidR="0025680F" w:rsidRDefault="00D201ED">
            <w:pPr>
              <w:widowControl/>
              <w:snapToGrid w:val="0"/>
              <w:jc w:val="center"/>
              <w:textAlignment w:val="center"/>
              <w:rPr>
                <w:b/>
                <w:bCs/>
                <w:color w:val="000000"/>
                <w:kern w:val="0"/>
                <w:sz w:val="15"/>
                <w:szCs w:val="15"/>
                <w:lang w:bidi="ar"/>
              </w:rPr>
            </w:pPr>
            <w:r>
              <w:rPr>
                <w:rFonts w:hint="eastAsia"/>
                <w:b/>
                <w:bCs/>
                <w:color w:val="000000"/>
                <w:kern w:val="0"/>
                <w:sz w:val="15"/>
                <w:szCs w:val="15"/>
                <w:lang w:bidi="ar"/>
              </w:rPr>
              <w:t>（</w:t>
            </w:r>
            <w:r>
              <w:rPr>
                <w:rFonts w:hint="eastAsia"/>
                <w:b/>
                <w:bCs/>
                <w:color w:val="000000"/>
                <w:kern w:val="0"/>
                <w:sz w:val="15"/>
                <w:szCs w:val="15"/>
                <w:lang w:bidi="ar"/>
              </w:rPr>
              <w:t>%</w:t>
            </w:r>
            <w:r>
              <w:rPr>
                <w:rFonts w:hint="eastAsia"/>
                <w:b/>
                <w:bCs/>
                <w:color w:val="000000"/>
                <w:kern w:val="0"/>
                <w:sz w:val="15"/>
                <w:szCs w:val="15"/>
                <w:lang w:bidi="ar"/>
              </w:rPr>
              <w:t>）</w:t>
            </w:r>
          </w:p>
        </w:tc>
        <w:tc>
          <w:tcPr>
            <w:tcW w:w="3084" w:type="dxa"/>
            <w:tcBorders>
              <w:top w:val="single" w:sz="12" w:space="0" w:color="auto"/>
              <w:left w:val="nil"/>
              <w:bottom w:val="single" w:sz="4" w:space="0" w:color="auto"/>
              <w:right w:val="nil"/>
            </w:tcBorders>
            <w:shd w:val="clear" w:color="auto" w:fill="auto"/>
            <w:vAlign w:val="center"/>
          </w:tcPr>
          <w:p w14:paraId="1E5CEF97" w14:textId="77777777" w:rsidR="0025680F" w:rsidRDefault="00D201ED">
            <w:pPr>
              <w:widowControl/>
              <w:snapToGrid w:val="0"/>
              <w:jc w:val="center"/>
              <w:textAlignment w:val="center"/>
              <w:rPr>
                <w:b/>
                <w:bCs/>
                <w:color w:val="000000"/>
                <w:sz w:val="15"/>
                <w:szCs w:val="15"/>
              </w:rPr>
            </w:pPr>
            <w:r>
              <w:rPr>
                <w:rFonts w:hint="eastAsia"/>
                <w:b/>
                <w:bCs/>
                <w:color w:val="000000"/>
                <w:kern w:val="0"/>
                <w:sz w:val="15"/>
                <w:szCs w:val="15"/>
                <w:lang w:bidi="ar"/>
              </w:rPr>
              <w:t>说明</w:t>
            </w:r>
          </w:p>
        </w:tc>
        <w:tc>
          <w:tcPr>
            <w:tcW w:w="3389" w:type="dxa"/>
            <w:tcBorders>
              <w:top w:val="single" w:sz="12" w:space="0" w:color="auto"/>
              <w:left w:val="nil"/>
              <w:bottom w:val="single" w:sz="4" w:space="0" w:color="auto"/>
              <w:right w:val="nil"/>
            </w:tcBorders>
            <w:shd w:val="clear" w:color="auto" w:fill="auto"/>
            <w:vAlign w:val="center"/>
          </w:tcPr>
          <w:p w14:paraId="4824648B" w14:textId="77777777" w:rsidR="0025680F" w:rsidRDefault="00D201ED">
            <w:pPr>
              <w:widowControl/>
              <w:snapToGrid w:val="0"/>
              <w:jc w:val="center"/>
              <w:textAlignment w:val="center"/>
              <w:rPr>
                <w:b/>
                <w:bCs/>
                <w:color w:val="000000"/>
                <w:sz w:val="15"/>
                <w:szCs w:val="15"/>
              </w:rPr>
            </w:pPr>
            <w:r>
              <w:rPr>
                <w:rFonts w:hint="eastAsia"/>
                <w:b/>
                <w:bCs/>
                <w:color w:val="000000"/>
                <w:kern w:val="0"/>
                <w:sz w:val="15"/>
                <w:szCs w:val="15"/>
                <w:lang w:bidi="ar"/>
              </w:rPr>
              <w:t>赋值规则</w:t>
            </w:r>
          </w:p>
        </w:tc>
      </w:tr>
      <w:tr w:rsidR="0025680F" w14:paraId="31F4EC27" w14:textId="77777777">
        <w:trPr>
          <w:jc w:val="center"/>
        </w:trPr>
        <w:tc>
          <w:tcPr>
            <w:tcW w:w="1390" w:type="dxa"/>
            <w:tcBorders>
              <w:top w:val="single" w:sz="4" w:space="0" w:color="auto"/>
              <w:left w:val="nil"/>
              <w:bottom w:val="nil"/>
              <w:right w:val="nil"/>
            </w:tcBorders>
            <w:shd w:val="clear" w:color="auto" w:fill="auto"/>
            <w:vAlign w:val="center"/>
          </w:tcPr>
          <w:p w14:paraId="6B8DC096"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发声时间</w:t>
            </w:r>
          </w:p>
        </w:tc>
        <w:tc>
          <w:tcPr>
            <w:tcW w:w="1507" w:type="dxa"/>
            <w:tcBorders>
              <w:top w:val="single" w:sz="4" w:space="0" w:color="auto"/>
              <w:left w:val="nil"/>
              <w:bottom w:val="nil"/>
              <w:right w:val="nil"/>
            </w:tcBorders>
            <w:shd w:val="clear" w:color="auto" w:fill="auto"/>
            <w:vAlign w:val="center"/>
          </w:tcPr>
          <w:p w14:paraId="7360460D"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响应时效</w:t>
            </w:r>
          </w:p>
        </w:tc>
        <w:tc>
          <w:tcPr>
            <w:tcW w:w="1163" w:type="dxa"/>
            <w:tcBorders>
              <w:top w:val="single" w:sz="4" w:space="0" w:color="auto"/>
              <w:left w:val="nil"/>
              <w:bottom w:val="nil"/>
              <w:right w:val="nil"/>
            </w:tcBorders>
            <w:shd w:val="clear" w:color="auto" w:fill="auto"/>
            <w:vAlign w:val="center"/>
          </w:tcPr>
          <w:p w14:paraId="48C0F43E"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20</w:t>
            </w:r>
          </w:p>
        </w:tc>
        <w:tc>
          <w:tcPr>
            <w:tcW w:w="3084" w:type="dxa"/>
            <w:tcBorders>
              <w:top w:val="single" w:sz="4" w:space="0" w:color="auto"/>
              <w:left w:val="nil"/>
              <w:bottom w:val="nil"/>
              <w:right w:val="nil"/>
            </w:tcBorders>
            <w:shd w:val="clear" w:color="auto" w:fill="auto"/>
            <w:vAlign w:val="center"/>
          </w:tcPr>
          <w:p w14:paraId="488EBFC1"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以黄金四小时为原则，响应速度越快得分越高，沉默或不回应则不得分</w:t>
            </w:r>
          </w:p>
        </w:tc>
        <w:tc>
          <w:tcPr>
            <w:tcW w:w="3389" w:type="dxa"/>
            <w:tcBorders>
              <w:top w:val="single" w:sz="4" w:space="0" w:color="auto"/>
              <w:left w:val="nil"/>
              <w:bottom w:val="nil"/>
              <w:right w:val="nil"/>
            </w:tcBorders>
            <w:shd w:val="clear" w:color="auto" w:fill="auto"/>
            <w:vAlign w:val="center"/>
          </w:tcPr>
          <w:p w14:paraId="384F14DD"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响应时间≤</w:t>
            </w:r>
            <w:r>
              <w:rPr>
                <w:rFonts w:hint="eastAsia"/>
                <w:color w:val="000000"/>
                <w:kern w:val="0"/>
                <w:sz w:val="15"/>
                <w:szCs w:val="15"/>
                <w:lang w:bidi="ar"/>
              </w:rPr>
              <w:t>4h:100; 4</w:t>
            </w:r>
            <w:r>
              <w:rPr>
                <w:rFonts w:hint="eastAsia"/>
                <w:color w:val="000000"/>
                <w:kern w:val="0"/>
                <w:sz w:val="15"/>
                <w:szCs w:val="15"/>
                <w:lang w:bidi="ar"/>
              </w:rPr>
              <w:t>–</w:t>
            </w:r>
            <w:r>
              <w:rPr>
                <w:rFonts w:hint="eastAsia"/>
                <w:color w:val="000000"/>
                <w:kern w:val="0"/>
                <w:sz w:val="15"/>
                <w:szCs w:val="15"/>
                <w:lang w:bidi="ar"/>
              </w:rPr>
              <w:t>8h:90; 8</w:t>
            </w:r>
            <w:r>
              <w:rPr>
                <w:rFonts w:hint="eastAsia"/>
                <w:color w:val="000000"/>
                <w:kern w:val="0"/>
                <w:sz w:val="15"/>
                <w:szCs w:val="15"/>
                <w:lang w:bidi="ar"/>
              </w:rPr>
              <w:t>–</w:t>
            </w:r>
            <w:r>
              <w:rPr>
                <w:rFonts w:hint="eastAsia"/>
                <w:color w:val="000000"/>
                <w:kern w:val="0"/>
                <w:sz w:val="15"/>
                <w:szCs w:val="15"/>
                <w:lang w:bidi="ar"/>
              </w:rPr>
              <w:t>8h:80; 8</w:t>
            </w:r>
            <w:r>
              <w:rPr>
                <w:rFonts w:hint="eastAsia"/>
                <w:color w:val="000000"/>
                <w:kern w:val="0"/>
                <w:sz w:val="15"/>
                <w:szCs w:val="15"/>
                <w:lang w:bidi="ar"/>
              </w:rPr>
              <w:t>–</w:t>
            </w:r>
            <w:r>
              <w:rPr>
                <w:rFonts w:hint="eastAsia"/>
                <w:color w:val="000000"/>
                <w:kern w:val="0"/>
                <w:sz w:val="15"/>
                <w:szCs w:val="15"/>
                <w:lang w:bidi="ar"/>
              </w:rPr>
              <w:t>24h:70; 24</w:t>
            </w:r>
            <w:r>
              <w:rPr>
                <w:rFonts w:hint="eastAsia"/>
                <w:color w:val="000000"/>
                <w:kern w:val="0"/>
                <w:sz w:val="15"/>
                <w:szCs w:val="15"/>
                <w:lang w:bidi="ar"/>
              </w:rPr>
              <w:t>–</w:t>
            </w:r>
            <w:r>
              <w:rPr>
                <w:rFonts w:hint="eastAsia"/>
                <w:color w:val="000000"/>
                <w:kern w:val="0"/>
                <w:sz w:val="15"/>
                <w:szCs w:val="15"/>
                <w:lang w:bidi="ar"/>
              </w:rPr>
              <w:t>48h:40; &gt;48h:0</w:t>
            </w:r>
          </w:p>
        </w:tc>
      </w:tr>
      <w:tr w:rsidR="0025680F" w14:paraId="52131175" w14:textId="77777777">
        <w:trPr>
          <w:jc w:val="center"/>
        </w:trPr>
        <w:tc>
          <w:tcPr>
            <w:tcW w:w="1390" w:type="dxa"/>
            <w:tcBorders>
              <w:top w:val="nil"/>
              <w:left w:val="nil"/>
              <w:bottom w:val="nil"/>
              <w:right w:val="nil"/>
            </w:tcBorders>
            <w:shd w:val="clear" w:color="auto" w:fill="auto"/>
            <w:vAlign w:val="center"/>
          </w:tcPr>
          <w:p w14:paraId="5BCF9BF6"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发布主体</w:t>
            </w:r>
          </w:p>
        </w:tc>
        <w:tc>
          <w:tcPr>
            <w:tcW w:w="1507" w:type="dxa"/>
            <w:tcBorders>
              <w:top w:val="nil"/>
              <w:left w:val="nil"/>
              <w:bottom w:val="nil"/>
              <w:right w:val="nil"/>
            </w:tcBorders>
            <w:shd w:val="clear" w:color="auto" w:fill="auto"/>
            <w:vAlign w:val="center"/>
          </w:tcPr>
          <w:p w14:paraId="372F820E"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发布主体多元性</w:t>
            </w:r>
          </w:p>
        </w:tc>
        <w:tc>
          <w:tcPr>
            <w:tcW w:w="1163" w:type="dxa"/>
            <w:tcBorders>
              <w:top w:val="nil"/>
              <w:left w:val="nil"/>
              <w:bottom w:val="nil"/>
              <w:right w:val="nil"/>
            </w:tcBorders>
            <w:shd w:val="clear" w:color="auto" w:fill="auto"/>
            <w:vAlign w:val="center"/>
          </w:tcPr>
          <w:p w14:paraId="309D6CC9"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10</w:t>
            </w:r>
          </w:p>
        </w:tc>
        <w:tc>
          <w:tcPr>
            <w:tcW w:w="3084" w:type="dxa"/>
            <w:tcBorders>
              <w:top w:val="nil"/>
              <w:left w:val="nil"/>
              <w:bottom w:val="nil"/>
              <w:right w:val="nil"/>
            </w:tcBorders>
            <w:shd w:val="clear" w:color="auto" w:fill="auto"/>
            <w:vAlign w:val="center"/>
          </w:tcPr>
          <w:p w14:paraId="50F716F4"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考察回应主体级别、发声主体多元性、有无集团和第三方背书等</w:t>
            </w:r>
          </w:p>
        </w:tc>
        <w:tc>
          <w:tcPr>
            <w:tcW w:w="3389" w:type="dxa"/>
            <w:tcBorders>
              <w:top w:val="nil"/>
              <w:left w:val="nil"/>
              <w:bottom w:val="nil"/>
              <w:right w:val="nil"/>
            </w:tcBorders>
            <w:shd w:val="clear" w:color="auto" w:fill="auto"/>
            <w:vAlign w:val="center"/>
          </w:tcPr>
          <w:p w14:paraId="73B16F13"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一把手</w:t>
            </w:r>
            <w:r>
              <w:rPr>
                <w:rFonts w:hint="eastAsia"/>
                <w:color w:val="000000"/>
                <w:kern w:val="0"/>
                <w:sz w:val="15"/>
                <w:szCs w:val="15"/>
                <w:lang w:bidi="ar"/>
              </w:rPr>
              <w:t>+</w:t>
            </w:r>
            <w:r>
              <w:rPr>
                <w:rFonts w:hint="eastAsia"/>
                <w:color w:val="000000"/>
                <w:kern w:val="0"/>
                <w:sz w:val="15"/>
                <w:szCs w:val="15"/>
                <w:lang w:bidi="ar"/>
              </w:rPr>
              <w:t>多元主体：</w:t>
            </w:r>
            <w:r>
              <w:rPr>
                <w:rFonts w:hint="eastAsia"/>
                <w:color w:val="000000"/>
                <w:kern w:val="0"/>
                <w:sz w:val="15"/>
                <w:szCs w:val="15"/>
                <w:lang w:bidi="ar"/>
              </w:rPr>
              <w:t xml:space="preserve">100; </w:t>
            </w:r>
            <w:r>
              <w:rPr>
                <w:rFonts w:hint="eastAsia"/>
                <w:color w:val="000000"/>
                <w:kern w:val="0"/>
                <w:sz w:val="15"/>
                <w:szCs w:val="15"/>
                <w:lang w:bidi="ar"/>
              </w:rPr>
              <w:t>一把手：</w:t>
            </w:r>
            <w:r>
              <w:rPr>
                <w:rFonts w:hint="eastAsia"/>
                <w:color w:val="000000"/>
                <w:kern w:val="0"/>
                <w:sz w:val="15"/>
                <w:szCs w:val="15"/>
                <w:lang w:bidi="ar"/>
              </w:rPr>
              <w:t xml:space="preserve">90; </w:t>
            </w:r>
            <w:r>
              <w:rPr>
                <w:rFonts w:hint="eastAsia"/>
                <w:color w:val="000000"/>
                <w:kern w:val="0"/>
                <w:sz w:val="15"/>
                <w:szCs w:val="15"/>
                <w:lang w:bidi="ar"/>
              </w:rPr>
              <w:t>发言人</w:t>
            </w:r>
            <w:r>
              <w:rPr>
                <w:rFonts w:hint="eastAsia"/>
                <w:color w:val="000000"/>
                <w:kern w:val="0"/>
                <w:sz w:val="15"/>
                <w:szCs w:val="15"/>
                <w:lang w:bidi="ar"/>
              </w:rPr>
              <w:t>/</w:t>
            </w:r>
            <w:r>
              <w:rPr>
                <w:rFonts w:hint="eastAsia"/>
                <w:color w:val="000000"/>
                <w:kern w:val="0"/>
                <w:sz w:val="15"/>
                <w:szCs w:val="15"/>
                <w:lang w:bidi="ar"/>
              </w:rPr>
              <w:t>部门负责人：</w:t>
            </w:r>
            <w:r>
              <w:rPr>
                <w:rFonts w:hint="eastAsia"/>
                <w:color w:val="000000"/>
                <w:kern w:val="0"/>
                <w:sz w:val="15"/>
                <w:szCs w:val="15"/>
                <w:lang w:bidi="ar"/>
              </w:rPr>
              <w:t xml:space="preserve">80; </w:t>
            </w:r>
            <w:r>
              <w:rPr>
                <w:rFonts w:hint="eastAsia"/>
                <w:color w:val="000000"/>
                <w:kern w:val="0"/>
                <w:sz w:val="15"/>
                <w:szCs w:val="15"/>
                <w:lang w:bidi="ar"/>
              </w:rPr>
              <w:t>一般工作人员：</w:t>
            </w:r>
            <w:r>
              <w:rPr>
                <w:rFonts w:hint="eastAsia"/>
                <w:color w:val="000000"/>
                <w:kern w:val="0"/>
                <w:sz w:val="15"/>
                <w:szCs w:val="15"/>
                <w:lang w:bidi="ar"/>
              </w:rPr>
              <w:t xml:space="preserve">50; </w:t>
            </w:r>
            <w:r>
              <w:rPr>
                <w:rFonts w:hint="eastAsia"/>
                <w:color w:val="000000"/>
                <w:kern w:val="0"/>
                <w:sz w:val="15"/>
                <w:szCs w:val="15"/>
                <w:lang w:bidi="ar"/>
              </w:rPr>
              <w:t>无</w:t>
            </w:r>
            <w:r>
              <w:rPr>
                <w:rFonts w:hint="eastAsia"/>
                <w:color w:val="000000"/>
                <w:kern w:val="0"/>
                <w:sz w:val="15"/>
                <w:szCs w:val="15"/>
                <w:lang w:bidi="ar"/>
              </w:rPr>
              <w:t>/</w:t>
            </w:r>
            <w:r>
              <w:rPr>
                <w:rFonts w:hint="eastAsia"/>
                <w:color w:val="000000"/>
                <w:kern w:val="0"/>
                <w:sz w:val="15"/>
                <w:szCs w:val="15"/>
                <w:lang w:bidi="ar"/>
              </w:rPr>
              <w:t>不明：</w:t>
            </w:r>
            <w:r>
              <w:rPr>
                <w:rFonts w:hint="eastAsia"/>
                <w:color w:val="000000"/>
                <w:kern w:val="0"/>
                <w:sz w:val="15"/>
                <w:szCs w:val="15"/>
                <w:lang w:bidi="ar"/>
              </w:rPr>
              <w:t>0</w:t>
            </w:r>
          </w:p>
        </w:tc>
      </w:tr>
      <w:tr w:rsidR="0025680F" w14:paraId="41B556E4" w14:textId="77777777">
        <w:trPr>
          <w:jc w:val="center"/>
        </w:trPr>
        <w:tc>
          <w:tcPr>
            <w:tcW w:w="1390" w:type="dxa"/>
            <w:tcBorders>
              <w:top w:val="nil"/>
              <w:left w:val="nil"/>
              <w:bottom w:val="nil"/>
              <w:right w:val="nil"/>
            </w:tcBorders>
            <w:shd w:val="clear" w:color="auto" w:fill="auto"/>
            <w:vAlign w:val="center"/>
          </w:tcPr>
          <w:p w14:paraId="2BA54D1F"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发布渠道</w:t>
            </w:r>
          </w:p>
        </w:tc>
        <w:tc>
          <w:tcPr>
            <w:tcW w:w="1507" w:type="dxa"/>
            <w:tcBorders>
              <w:top w:val="nil"/>
              <w:left w:val="nil"/>
              <w:bottom w:val="nil"/>
              <w:right w:val="nil"/>
            </w:tcBorders>
            <w:shd w:val="clear" w:color="auto" w:fill="auto"/>
            <w:vAlign w:val="center"/>
          </w:tcPr>
          <w:p w14:paraId="0477183E"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渠道多元性</w:t>
            </w:r>
          </w:p>
        </w:tc>
        <w:tc>
          <w:tcPr>
            <w:tcW w:w="1163" w:type="dxa"/>
            <w:tcBorders>
              <w:top w:val="nil"/>
              <w:left w:val="nil"/>
              <w:bottom w:val="nil"/>
              <w:right w:val="nil"/>
            </w:tcBorders>
            <w:shd w:val="clear" w:color="auto" w:fill="auto"/>
            <w:vAlign w:val="center"/>
          </w:tcPr>
          <w:p w14:paraId="5859A7D5"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10</w:t>
            </w:r>
          </w:p>
        </w:tc>
        <w:tc>
          <w:tcPr>
            <w:tcW w:w="3084" w:type="dxa"/>
            <w:tcBorders>
              <w:top w:val="nil"/>
              <w:left w:val="nil"/>
              <w:bottom w:val="nil"/>
              <w:right w:val="nil"/>
            </w:tcBorders>
            <w:shd w:val="clear" w:color="auto" w:fill="auto"/>
            <w:vAlign w:val="center"/>
          </w:tcPr>
          <w:p w14:paraId="62AED71C"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是否召开新闻发布会，是否由本局官方账号第一时间回应，是否有集团</w:t>
            </w:r>
            <w:r>
              <w:rPr>
                <w:rFonts w:hint="eastAsia"/>
                <w:color w:val="000000"/>
                <w:kern w:val="0"/>
                <w:sz w:val="15"/>
                <w:szCs w:val="15"/>
                <w:lang w:bidi="ar"/>
              </w:rPr>
              <w:t>/</w:t>
            </w:r>
            <w:r>
              <w:rPr>
                <w:rFonts w:hint="eastAsia"/>
                <w:color w:val="000000"/>
                <w:kern w:val="0"/>
                <w:sz w:val="15"/>
                <w:szCs w:val="15"/>
                <w:lang w:bidi="ar"/>
              </w:rPr>
              <w:t>行业账号</w:t>
            </w:r>
            <w:r>
              <w:rPr>
                <w:rFonts w:hint="eastAsia"/>
                <w:color w:val="000000"/>
                <w:kern w:val="0"/>
                <w:sz w:val="15"/>
                <w:szCs w:val="15"/>
                <w:lang w:bidi="ar"/>
              </w:rPr>
              <w:t>/</w:t>
            </w:r>
            <w:r>
              <w:rPr>
                <w:rFonts w:hint="eastAsia"/>
                <w:color w:val="000000"/>
                <w:kern w:val="0"/>
                <w:sz w:val="15"/>
                <w:szCs w:val="15"/>
                <w:lang w:bidi="ar"/>
              </w:rPr>
              <w:t>大</w:t>
            </w:r>
            <w:r>
              <w:rPr>
                <w:rFonts w:hint="eastAsia"/>
                <w:color w:val="000000"/>
                <w:kern w:val="0"/>
                <w:sz w:val="15"/>
                <w:szCs w:val="15"/>
                <w:lang w:bidi="ar"/>
              </w:rPr>
              <w:t>v</w:t>
            </w:r>
            <w:r>
              <w:rPr>
                <w:rFonts w:hint="eastAsia"/>
                <w:color w:val="000000"/>
                <w:kern w:val="0"/>
                <w:sz w:val="15"/>
                <w:szCs w:val="15"/>
                <w:lang w:bidi="ar"/>
              </w:rPr>
              <w:t>介入参与发声，是否有新华社</w:t>
            </w:r>
            <w:r>
              <w:rPr>
                <w:rFonts w:hint="eastAsia"/>
                <w:color w:val="000000"/>
                <w:kern w:val="0"/>
                <w:sz w:val="15"/>
                <w:szCs w:val="15"/>
                <w:lang w:bidi="ar"/>
              </w:rPr>
              <w:t>/</w:t>
            </w:r>
            <w:r>
              <w:rPr>
                <w:rFonts w:hint="eastAsia"/>
                <w:color w:val="000000"/>
                <w:kern w:val="0"/>
                <w:sz w:val="15"/>
                <w:szCs w:val="15"/>
                <w:lang w:bidi="ar"/>
              </w:rPr>
              <w:t>央视等权威跟进</w:t>
            </w:r>
          </w:p>
        </w:tc>
        <w:tc>
          <w:tcPr>
            <w:tcW w:w="3389" w:type="dxa"/>
            <w:tcBorders>
              <w:top w:val="nil"/>
              <w:left w:val="nil"/>
              <w:bottom w:val="nil"/>
              <w:right w:val="nil"/>
            </w:tcBorders>
            <w:shd w:val="clear" w:color="auto" w:fill="auto"/>
            <w:vAlign w:val="center"/>
          </w:tcPr>
          <w:p w14:paraId="794BD622"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自有权威渠道首发</w:t>
            </w:r>
            <w:r>
              <w:rPr>
                <w:rFonts w:hint="eastAsia"/>
                <w:color w:val="000000"/>
                <w:kern w:val="0"/>
                <w:sz w:val="15"/>
                <w:szCs w:val="15"/>
                <w:lang w:bidi="ar"/>
              </w:rPr>
              <w:t>+</w:t>
            </w:r>
            <w:r>
              <w:rPr>
                <w:rFonts w:hint="eastAsia"/>
                <w:color w:val="000000"/>
                <w:kern w:val="0"/>
                <w:sz w:val="15"/>
                <w:szCs w:val="15"/>
                <w:lang w:bidi="ar"/>
              </w:rPr>
              <w:t>发布会</w:t>
            </w:r>
            <w:r>
              <w:rPr>
                <w:rFonts w:hint="eastAsia"/>
                <w:color w:val="000000"/>
                <w:kern w:val="0"/>
                <w:sz w:val="15"/>
                <w:szCs w:val="15"/>
                <w:lang w:bidi="ar"/>
              </w:rPr>
              <w:t>+</w:t>
            </w:r>
            <w:r>
              <w:rPr>
                <w:rFonts w:hint="eastAsia"/>
                <w:color w:val="000000"/>
                <w:kern w:val="0"/>
                <w:sz w:val="15"/>
                <w:szCs w:val="15"/>
                <w:lang w:bidi="ar"/>
              </w:rPr>
              <w:t>行业</w:t>
            </w:r>
            <w:r>
              <w:rPr>
                <w:rFonts w:hint="eastAsia"/>
                <w:color w:val="000000"/>
                <w:kern w:val="0"/>
                <w:sz w:val="15"/>
                <w:szCs w:val="15"/>
                <w:lang w:bidi="ar"/>
              </w:rPr>
              <w:t>/</w:t>
            </w:r>
            <w:r>
              <w:rPr>
                <w:rFonts w:hint="eastAsia"/>
                <w:color w:val="000000"/>
                <w:kern w:val="0"/>
                <w:sz w:val="15"/>
                <w:szCs w:val="15"/>
                <w:lang w:bidi="ar"/>
              </w:rPr>
              <w:t>集团背书：</w:t>
            </w:r>
            <w:r>
              <w:rPr>
                <w:rFonts w:hint="eastAsia"/>
                <w:color w:val="000000"/>
                <w:kern w:val="0"/>
                <w:sz w:val="15"/>
                <w:szCs w:val="15"/>
                <w:lang w:bidi="ar"/>
              </w:rPr>
              <w:t xml:space="preserve">100; </w:t>
            </w:r>
            <w:r>
              <w:rPr>
                <w:rFonts w:hint="eastAsia"/>
                <w:color w:val="000000"/>
                <w:kern w:val="0"/>
                <w:sz w:val="15"/>
                <w:szCs w:val="15"/>
                <w:lang w:bidi="ar"/>
              </w:rPr>
              <w:t>自有</w:t>
            </w:r>
            <w:r>
              <w:rPr>
                <w:rFonts w:hint="eastAsia"/>
                <w:color w:val="000000"/>
                <w:kern w:val="0"/>
                <w:sz w:val="15"/>
                <w:szCs w:val="15"/>
                <w:lang w:bidi="ar"/>
              </w:rPr>
              <w:t>+</w:t>
            </w:r>
            <w:r>
              <w:rPr>
                <w:rFonts w:hint="eastAsia"/>
                <w:color w:val="000000"/>
                <w:kern w:val="0"/>
                <w:sz w:val="15"/>
                <w:szCs w:val="15"/>
                <w:lang w:bidi="ar"/>
              </w:rPr>
              <w:t>发布会：</w:t>
            </w:r>
            <w:r>
              <w:rPr>
                <w:rFonts w:hint="eastAsia"/>
                <w:color w:val="000000"/>
                <w:kern w:val="0"/>
                <w:sz w:val="15"/>
                <w:szCs w:val="15"/>
                <w:lang w:bidi="ar"/>
              </w:rPr>
              <w:t xml:space="preserve">90; </w:t>
            </w:r>
            <w:r>
              <w:rPr>
                <w:rFonts w:hint="eastAsia"/>
                <w:color w:val="000000"/>
                <w:kern w:val="0"/>
                <w:sz w:val="15"/>
                <w:szCs w:val="15"/>
                <w:lang w:bidi="ar"/>
              </w:rPr>
              <w:t>仅自有账号：</w:t>
            </w:r>
            <w:r>
              <w:rPr>
                <w:rFonts w:hint="eastAsia"/>
                <w:color w:val="000000"/>
                <w:kern w:val="0"/>
                <w:sz w:val="15"/>
                <w:szCs w:val="15"/>
                <w:lang w:bidi="ar"/>
              </w:rPr>
              <w:t xml:space="preserve">70; </w:t>
            </w:r>
            <w:r>
              <w:rPr>
                <w:rFonts w:hint="eastAsia"/>
                <w:color w:val="000000"/>
                <w:kern w:val="0"/>
                <w:sz w:val="15"/>
                <w:szCs w:val="15"/>
                <w:lang w:bidi="ar"/>
              </w:rPr>
              <w:t>仅媒体转述：</w:t>
            </w:r>
            <w:r>
              <w:rPr>
                <w:rFonts w:hint="eastAsia"/>
                <w:color w:val="000000"/>
                <w:kern w:val="0"/>
                <w:sz w:val="15"/>
                <w:szCs w:val="15"/>
                <w:lang w:bidi="ar"/>
              </w:rPr>
              <w:t xml:space="preserve">40; </w:t>
            </w:r>
            <w:r>
              <w:rPr>
                <w:rFonts w:hint="eastAsia"/>
                <w:color w:val="000000"/>
                <w:kern w:val="0"/>
                <w:sz w:val="15"/>
                <w:szCs w:val="15"/>
                <w:lang w:bidi="ar"/>
              </w:rPr>
              <w:t>无：</w:t>
            </w:r>
            <w:r>
              <w:rPr>
                <w:rFonts w:hint="eastAsia"/>
                <w:color w:val="000000"/>
                <w:kern w:val="0"/>
                <w:sz w:val="15"/>
                <w:szCs w:val="15"/>
                <w:lang w:bidi="ar"/>
              </w:rPr>
              <w:t>0</w:t>
            </w:r>
          </w:p>
        </w:tc>
      </w:tr>
      <w:tr w:rsidR="0025680F" w14:paraId="2288C11E" w14:textId="77777777">
        <w:trPr>
          <w:jc w:val="center"/>
        </w:trPr>
        <w:tc>
          <w:tcPr>
            <w:tcW w:w="1390" w:type="dxa"/>
            <w:vMerge w:val="restart"/>
            <w:tcBorders>
              <w:top w:val="nil"/>
              <w:left w:val="nil"/>
              <w:bottom w:val="nil"/>
              <w:right w:val="nil"/>
            </w:tcBorders>
            <w:shd w:val="clear" w:color="auto" w:fill="auto"/>
            <w:vAlign w:val="center"/>
          </w:tcPr>
          <w:p w14:paraId="139906F1"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危机应对策略</w:t>
            </w:r>
          </w:p>
        </w:tc>
        <w:tc>
          <w:tcPr>
            <w:tcW w:w="1507" w:type="dxa"/>
            <w:tcBorders>
              <w:top w:val="nil"/>
              <w:left w:val="nil"/>
              <w:bottom w:val="nil"/>
              <w:right w:val="nil"/>
            </w:tcBorders>
            <w:shd w:val="clear" w:color="auto" w:fill="auto"/>
            <w:vAlign w:val="center"/>
          </w:tcPr>
          <w:p w14:paraId="7247B376"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事实澄清</w:t>
            </w:r>
          </w:p>
        </w:tc>
        <w:tc>
          <w:tcPr>
            <w:tcW w:w="1163" w:type="dxa"/>
            <w:tcBorders>
              <w:top w:val="nil"/>
              <w:left w:val="nil"/>
              <w:bottom w:val="nil"/>
              <w:right w:val="nil"/>
            </w:tcBorders>
            <w:shd w:val="clear" w:color="auto" w:fill="auto"/>
            <w:vAlign w:val="center"/>
          </w:tcPr>
          <w:p w14:paraId="52531F31"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10</w:t>
            </w:r>
          </w:p>
        </w:tc>
        <w:tc>
          <w:tcPr>
            <w:tcW w:w="3084" w:type="dxa"/>
            <w:tcBorders>
              <w:top w:val="nil"/>
              <w:left w:val="nil"/>
              <w:bottom w:val="nil"/>
              <w:right w:val="nil"/>
            </w:tcBorders>
            <w:shd w:val="clear" w:color="auto" w:fill="auto"/>
            <w:vAlign w:val="center"/>
          </w:tcPr>
          <w:p w14:paraId="778594BA"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是否针对事件核心问题进行澄清</w:t>
            </w:r>
          </w:p>
        </w:tc>
        <w:tc>
          <w:tcPr>
            <w:tcW w:w="3389" w:type="dxa"/>
            <w:tcBorders>
              <w:top w:val="nil"/>
              <w:left w:val="nil"/>
              <w:bottom w:val="nil"/>
              <w:right w:val="nil"/>
            </w:tcBorders>
            <w:shd w:val="clear" w:color="auto" w:fill="auto"/>
            <w:vAlign w:val="center"/>
          </w:tcPr>
          <w:p w14:paraId="66041F15"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充分：</w:t>
            </w:r>
            <w:r>
              <w:rPr>
                <w:rFonts w:hint="eastAsia"/>
                <w:color w:val="000000"/>
                <w:kern w:val="0"/>
                <w:sz w:val="15"/>
                <w:szCs w:val="15"/>
                <w:lang w:bidi="ar"/>
              </w:rPr>
              <w:t>80</w:t>
            </w:r>
            <w:r>
              <w:rPr>
                <w:rFonts w:hint="eastAsia"/>
                <w:color w:val="000000"/>
                <w:kern w:val="0"/>
                <w:sz w:val="15"/>
                <w:szCs w:val="15"/>
                <w:lang w:bidi="ar"/>
              </w:rPr>
              <w:t>～</w:t>
            </w:r>
            <w:r>
              <w:rPr>
                <w:rFonts w:hint="eastAsia"/>
                <w:color w:val="000000"/>
                <w:kern w:val="0"/>
                <w:sz w:val="15"/>
                <w:szCs w:val="15"/>
                <w:lang w:bidi="ar"/>
              </w:rPr>
              <w:t xml:space="preserve">100; </w:t>
            </w:r>
            <w:r>
              <w:rPr>
                <w:rFonts w:hint="eastAsia"/>
                <w:color w:val="000000"/>
                <w:kern w:val="0"/>
                <w:sz w:val="15"/>
                <w:szCs w:val="15"/>
                <w:lang w:bidi="ar"/>
              </w:rPr>
              <w:t>部分：</w:t>
            </w:r>
            <w:r>
              <w:rPr>
                <w:rFonts w:hint="eastAsia"/>
                <w:color w:val="000000"/>
                <w:kern w:val="0"/>
                <w:sz w:val="15"/>
                <w:szCs w:val="15"/>
                <w:lang w:bidi="ar"/>
              </w:rPr>
              <w:t>40</w:t>
            </w:r>
            <w:r>
              <w:rPr>
                <w:rFonts w:hint="eastAsia"/>
                <w:color w:val="000000"/>
                <w:kern w:val="0"/>
                <w:sz w:val="15"/>
                <w:szCs w:val="15"/>
                <w:lang w:bidi="ar"/>
              </w:rPr>
              <w:t>～</w:t>
            </w:r>
            <w:r>
              <w:rPr>
                <w:rFonts w:hint="eastAsia"/>
                <w:color w:val="000000"/>
                <w:kern w:val="0"/>
                <w:sz w:val="15"/>
                <w:szCs w:val="15"/>
                <w:lang w:bidi="ar"/>
              </w:rPr>
              <w:t xml:space="preserve">80; </w:t>
            </w:r>
            <w:r>
              <w:rPr>
                <w:rFonts w:hint="eastAsia"/>
                <w:color w:val="000000"/>
                <w:kern w:val="0"/>
                <w:sz w:val="15"/>
                <w:szCs w:val="15"/>
                <w:lang w:bidi="ar"/>
              </w:rPr>
              <w:t>极少：</w:t>
            </w:r>
            <w:r>
              <w:rPr>
                <w:rFonts w:hint="eastAsia"/>
                <w:color w:val="000000"/>
                <w:kern w:val="0"/>
                <w:sz w:val="15"/>
                <w:szCs w:val="15"/>
                <w:lang w:bidi="ar"/>
              </w:rPr>
              <w:t>0</w:t>
            </w:r>
            <w:r>
              <w:rPr>
                <w:rFonts w:hint="eastAsia"/>
                <w:color w:val="000000"/>
                <w:kern w:val="0"/>
                <w:sz w:val="15"/>
                <w:szCs w:val="15"/>
                <w:lang w:bidi="ar"/>
              </w:rPr>
              <w:t>～</w:t>
            </w:r>
            <w:r>
              <w:rPr>
                <w:rFonts w:hint="eastAsia"/>
                <w:color w:val="000000"/>
                <w:kern w:val="0"/>
                <w:sz w:val="15"/>
                <w:szCs w:val="15"/>
                <w:lang w:bidi="ar"/>
              </w:rPr>
              <w:t>40</w:t>
            </w:r>
            <w:r>
              <w:rPr>
                <w:rFonts w:hint="eastAsia"/>
                <w:color w:val="000000"/>
                <w:kern w:val="0"/>
                <w:sz w:val="15"/>
                <w:szCs w:val="15"/>
                <w:lang w:bidi="ar"/>
              </w:rPr>
              <w:t>；无：</w:t>
            </w:r>
            <w:r>
              <w:rPr>
                <w:rFonts w:hint="eastAsia"/>
                <w:color w:val="000000"/>
                <w:kern w:val="0"/>
                <w:sz w:val="15"/>
                <w:szCs w:val="15"/>
                <w:lang w:bidi="ar"/>
              </w:rPr>
              <w:t>0</w:t>
            </w:r>
          </w:p>
        </w:tc>
      </w:tr>
      <w:tr w:rsidR="0025680F" w14:paraId="5198F110" w14:textId="77777777">
        <w:trPr>
          <w:jc w:val="center"/>
        </w:trPr>
        <w:tc>
          <w:tcPr>
            <w:tcW w:w="1390" w:type="dxa"/>
            <w:vMerge/>
            <w:tcBorders>
              <w:top w:val="nil"/>
              <w:left w:val="nil"/>
              <w:bottom w:val="nil"/>
              <w:right w:val="nil"/>
            </w:tcBorders>
            <w:shd w:val="clear" w:color="auto" w:fill="auto"/>
            <w:vAlign w:val="center"/>
          </w:tcPr>
          <w:p w14:paraId="1FE14424" w14:textId="77777777" w:rsidR="0025680F" w:rsidRDefault="0025680F">
            <w:pPr>
              <w:snapToGrid w:val="0"/>
              <w:jc w:val="center"/>
              <w:rPr>
                <w:color w:val="000000"/>
                <w:sz w:val="15"/>
                <w:szCs w:val="15"/>
              </w:rPr>
            </w:pPr>
          </w:p>
        </w:tc>
        <w:tc>
          <w:tcPr>
            <w:tcW w:w="1507" w:type="dxa"/>
            <w:tcBorders>
              <w:top w:val="nil"/>
              <w:left w:val="nil"/>
              <w:bottom w:val="nil"/>
              <w:right w:val="nil"/>
            </w:tcBorders>
            <w:shd w:val="clear" w:color="auto" w:fill="auto"/>
            <w:vAlign w:val="center"/>
          </w:tcPr>
          <w:p w14:paraId="0E5A0564"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道歉担责</w:t>
            </w:r>
          </w:p>
        </w:tc>
        <w:tc>
          <w:tcPr>
            <w:tcW w:w="1163" w:type="dxa"/>
            <w:tcBorders>
              <w:top w:val="nil"/>
              <w:left w:val="nil"/>
              <w:bottom w:val="nil"/>
              <w:right w:val="nil"/>
            </w:tcBorders>
            <w:shd w:val="clear" w:color="auto" w:fill="auto"/>
            <w:vAlign w:val="center"/>
          </w:tcPr>
          <w:p w14:paraId="4947AA85"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10</w:t>
            </w:r>
          </w:p>
        </w:tc>
        <w:tc>
          <w:tcPr>
            <w:tcW w:w="3084" w:type="dxa"/>
            <w:tcBorders>
              <w:top w:val="nil"/>
              <w:left w:val="nil"/>
              <w:bottom w:val="nil"/>
              <w:right w:val="nil"/>
            </w:tcBorders>
            <w:shd w:val="clear" w:color="auto" w:fill="auto"/>
            <w:vAlign w:val="center"/>
          </w:tcPr>
          <w:p w14:paraId="28EAFF32"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在事实未调查清楚之前，态度上是否表达责任或歉意</w:t>
            </w:r>
          </w:p>
        </w:tc>
        <w:tc>
          <w:tcPr>
            <w:tcW w:w="3389" w:type="dxa"/>
            <w:tcBorders>
              <w:top w:val="nil"/>
              <w:left w:val="nil"/>
              <w:bottom w:val="nil"/>
              <w:right w:val="nil"/>
            </w:tcBorders>
            <w:shd w:val="clear" w:color="auto" w:fill="auto"/>
            <w:vAlign w:val="center"/>
          </w:tcPr>
          <w:p w14:paraId="3A8B7193"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充分：</w:t>
            </w:r>
            <w:r>
              <w:rPr>
                <w:rFonts w:hint="eastAsia"/>
                <w:color w:val="000000"/>
                <w:kern w:val="0"/>
                <w:sz w:val="15"/>
                <w:szCs w:val="15"/>
                <w:lang w:bidi="ar"/>
              </w:rPr>
              <w:t>80</w:t>
            </w:r>
            <w:r>
              <w:rPr>
                <w:rFonts w:hint="eastAsia"/>
                <w:color w:val="000000"/>
                <w:kern w:val="0"/>
                <w:sz w:val="15"/>
                <w:szCs w:val="15"/>
                <w:lang w:bidi="ar"/>
              </w:rPr>
              <w:t>～</w:t>
            </w:r>
            <w:r>
              <w:rPr>
                <w:rFonts w:hint="eastAsia"/>
                <w:color w:val="000000"/>
                <w:kern w:val="0"/>
                <w:sz w:val="15"/>
                <w:szCs w:val="15"/>
                <w:lang w:bidi="ar"/>
              </w:rPr>
              <w:t xml:space="preserve">100; </w:t>
            </w:r>
            <w:r>
              <w:rPr>
                <w:rFonts w:hint="eastAsia"/>
                <w:color w:val="000000"/>
                <w:kern w:val="0"/>
                <w:sz w:val="15"/>
                <w:szCs w:val="15"/>
                <w:lang w:bidi="ar"/>
              </w:rPr>
              <w:t>部分：</w:t>
            </w:r>
            <w:r>
              <w:rPr>
                <w:rFonts w:hint="eastAsia"/>
                <w:color w:val="000000"/>
                <w:kern w:val="0"/>
                <w:sz w:val="15"/>
                <w:szCs w:val="15"/>
                <w:lang w:bidi="ar"/>
              </w:rPr>
              <w:t>40</w:t>
            </w:r>
            <w:r>
              <w:rPr>
                <w:rFonts w:hint="eastAsia"/>
                <w:color w:val="000000"/>
                <w:kern w:val="0"/>
                <w:sz w:val="15"/>
                <w:szCs w:val="15"/>
                <w:lang w:bidi="ar"/>
              </w:rPr>
              <w:t>～</w:t>
            </w:r>
            <w:r>
              <w:rPr>
                <w:rFonts w:hint="eastAsia"/>
                <w:color w:val="000000"/>
                <w:kern w:val="0"/>
                <w:sz w:val="15"/>
                <w:szCs w:val="15"/>
                <w:lang w:bidi="ar"/>
              </w:rPr>
              <w:t xml:space="preserve">80; </w:t>
            </w:r>
            <w:r>
              <w:rPr>
                <w:rFonts w:hint="eastAsia"/>
                <w:color w:val="000000"/>
                <w:kern w:val="0"/>
                <w:sz w:val="15"/>
                <w:szCs w:val="15"/>
                <w:lang w:bidi="ar"/>
              </w:rPr>
              <w:t>极少：</w:t>
            </w:r>
            <w:r>
              <w:rPr>
                <w:rFonts w:hint="eastAsia"/>
                <w:color w:val="000000"/>
                <w:kern w:val="0"/>
                <w:sz w:val="15"/>
                <w:szCs w:val="15"/>
                <w:lang w:bidi="ar"/>
              </w:rPr>
              <w:t>0</w:t>
            </w:r>
            <w:r>
              <w:rPr>
                <w:rFonts w:hint="eastAsia"/>
                <w:color w:val="000000"/>
                <w:kern w:val="0"/>
                <w:sz w:val="15"/>
                <w:szCs w:val="15"/>
                <w:lang w:bidi="ar"/>
              </w:rPr>
              <w:t>～</w:t>
            </w:r>
            <w:r>
              <w:rPr>
                <w:rFonts w:hint="eastAsia"/>
                <w:color w:val="000000"/>
                <w:kern w:val="0"/>
                <w:sz w:val="15"/>
                <w:szCs w:val="15"/>
                <w:lang w:bidi="ar"/>
              </w:rPr>
              <w:t>40</w:t>
            </w:r>
            <w:r>
              <w:rPr>
                <w:rFonts w:hint="eastAsia"/>
                <w:color w:val="000000"/>
                <w:kern w:val="0"/>
                <w:sz w:val="15"/>
                <w:szCs w:val="15"/>
                <w:lang w:bidi="ar"/>
              </w:rPr>
              <w:t>；无：</w:t>
            </w:r>
            <w:r>
              <w:rPr>
                <w:rFonts w:hint="eastAsia"/>
                <w:color w:val="000000"/>
                <w:kern w:val="0"/>
                <w:sz w:val="15"/>
                <w:szCs w:val="15"/>
                <w:lang w:bidi="ar"/>
              </w:rPr>
              <w:t>0</w:t>
            </w:r>
          </w:p>
        </w:tc>
      </w:tr>
      <w:tr w:rsidR="0025680F" w14:paraId="102EC25D" w14:textId="77777777">
        <w:trPr>
          <w:jc w:val="center"/>
        </w:trPr>
        <w:tc>
          <w:tcPr>
            <w:tcW w:w="1390" w:type="dxa"/>
            <w:vMerge/>
            <w:tcBorders>
              <w:top w:val="nil"/>
              <w:left w:val="nil"/>
              <w:bottom w:val="nil"/>
              <w:right w:val="nil"/>
            </w:tcBorders>
            <w:shd w:val="clear" w:color="auto" w:fill="auto"/>
            <w:vAlign w:val="center"/>
          </w:tcPr>
          <w:p w14:paraId="546C8FC6" w14:textId="77777777" w:rsidR="0025680F" w:rsidRDefault="0025680F">
            <w:pPr>
              <w:snapToGrid w:val="0"/>
              <w:jc w:val="center"/>
              <w:rPr>
                <w:color w:val="000000"/>
                <w:sz w:val="15"/>
                <w:szCs w:val="15"/>
              </w:rPr>
            </w:pPr>
          </w:p>
        </w:tc>
        <w:tc>
          <w:tcPr>
            <w:tcW w:w="1507" w:type="dxa"/>
            <w:tcBorders>
              <w:top w:val="nil"/>
              <w:left w:val="nil"/>
              <w:bottom w:val="nil"/>
              <w:right w:val="nil"/>
            </w:tcBorders>
            <w:shd w:val="clear" w:color="auto" w:fill="auto"/>
            <w:vAlign w:val="center"/>
          </w:tcPr>
          <w:p w14:paraId="375E2D81"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情感态度</w:t>
            </w:r>
          </w:p>
        </w:tc>
        <w:tc>
          <w:tcPr>
            <w:tcW w:w="1163" w:type="dxa"/>
            <w:tcBorders>
              <w:top w:val="nil"/>
              <w:left w:val="nil"/>
              <w:bottom w:val="nil"/>
              <w:right w:val="nil"/>
            </w:tcBorders>
            <w:shd w:val="clear" w:color="auto" w:fill="auto"/>
            <w:vAlign w:val="center"/>
          </w:tcPr>
          <w:p w14:paraId="3B2E6AD0"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10</w:t>
            </w:r>
          </w:p>
        </w:tc>
        <w:tc>
          <w:tcPr>
            <w:tcW w:w="3084" w:type="dxa"/>
            <w:tcBorders>
              <w:top w:val="nil"/>
              <w:left w:val="nil"/>
              <w:bottom w:val="nil"/>
              <w:right w:val="nil"/>
            </w:tcBorders>
            <w:shd w:val="clear" w:color="auto" w:fill="auto"/>
            <w:vAlign w:val="center"/>
          </w:tcPr>
          <w:p w14:paraId="7EA5DA12"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不管是否有主体责任，是否在危机中体现人文关怀或共情</w:t>
            </w:r>
          </w:p>
        </w:tc>
        <w:tc>
          <w:tcPr>
            <w:tcW w:w="3389" w:type="dxa"/>
            <w:tcBorders>
              <w:top w:val="nil"/>
              <w:left w:val="nil"/>
              <w:bottom w:val="nil"/>
              <w:right w:val="nil"/>
            </w:tcBorders>
            <w:shd w:val="clear" w:color="auto" w:fill="auto"/>
            <w:vAlign w:val="center"/>
          </w:tcPr>
          <w:p w14:paraId="7E2CFA9F"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充分：</w:t>
            </w:r>
            <w:r>
              <w:rPr>
                <w:rFonts w:hint="eastAsia"/>
                <w:color w:val="000000"/>
                <w:kern w:val="0"/>
                <w:sz w:val="15"/>
                <w:szCs w:val="15"/>
                <w:lang w:bidi="ar"/>
              </w:rPr>
              <w:t>80</w:t>
            </w:r>
            <w:r>
              <w:rPr>
                <w:rFonts w:hint="eastAsia"/>
                <w:color w:val="000000"/>
                <w:kern w:val="0"/>
                <w:sz w:val="15"/>
                <w:szCs w:val="15"/>
                <w:lang w:bidi="ar"/>
              </w:rPr>
              <w:t>～</w:t>
            </w:r>
            <w:r>
              <w:rPr>
                <w:rFonts w:hint="eastAsia"/>
                <w:color w:val="000000"/>
                <w:kern w:val="0"/>
                <w:sz w:val="15"/>
                <w:szCs w:val="15"/>
                <w:lang w:bidi="ar"/>
              </w:rPr>
              <w:t xml:space="preserve">100; </w:t>
            </w:r>
            <w:r>
              <w:rPr>
                <w:rFonts w:hint="eastAsia"/>
                <w:color w:val="000000"/>
                <w:kern w:val="0"/>
                <w:sz w:val="15"/>
                <w:szCs w:val="15"/>
                <w:lang w:bidi="ar"/>
              </w:rPr>
              <w:t>部分：</w:t>
            </w:r>
            <w:r>
              <w:rPr>
                <w:rFonts w:hint="eastAsia"/>
                <w:color w:val="000000"/>
                <w:kern w:val="0"/>
                <w:sz w:val="15"/>
                <w:szCs w:val="15"/>
                <w:lang w:bidi="ar"/>
              </w:rPr>
              <w:t>40</w:t>
            </w:r>
            <w:r>
              <w:rPr>
                <w:rFonts w:hint="eastAsia"/>
                <w:color w:val="000000"/>
                <w:kern w:val="0"/>
                <w:sz w:val="15"/>
                <w:szCs w:val="15"/>
                <w:lang w:bidi="ar"/>
              </w:rPr>
              <w:t>～</w:t>
            </w:r>
            <w:r>
              <w:rPr>
                <w:rFonts w:hint="eastAsia"/>
                <w:color w:val="000000"/>
                <w:kern w:val="0"/>
                <w:sz w:val="15"/>
                <w:szCs w:val="15"/>
                <w:lang w:bidi="ar"/>
              </w:rPr>
              <w:t xml:space="preserve">80; </w:t>
            </w:r>
            <w:r>
              <w:rPr>
                <w:rFonts w:hint="eastAsia"/>
                <w:color w:val="000000"/>
                <w:kern w:val="0"/>
                <w:sz w:val="15"/>
                <w:szCs w:val="15"/>
                <w:lang w:bidi="ar"/>
              </w:rPr>
              <w:t>极少：</w:t>
            </w:r>
            <w:r>
              <w:rPr>
                <w:rFonts w:hint="eastAsia"/>
                <w:color w:val="000000"/>
                <w:kern w:val="0"/>
                <w:sz w:val="15"/>
                <w:szCs w:val="15"/>
                <w:lang w:bidi="ar"/>
              </w:rPr>
              <w:t>0</w:t>
            </w:r>
            <w:r>
              <w:rPr>
                <w:rFonts w:hint="eastAsia"/>
                <w:color w:val="000000"/>
                <w:kern w:val="0"/>
                <w:sz w:val="15"/>
                <w:szCs w:val="15"/>
                <w:lang w:bidi="ar"/>
              </w:rPr>
              <w:t>～</w:t>
            </w:r>
            <w:r>
              <w:rPr>
                <w:rFonts w:hint="eastAsia"/>
                <w:color w:val="000000"/>
                <w:kern w:val="0"/>
                <w:sz w:val="15"/>
                <w:szCs w:val="15"/>
                <w:lang w:bidi="ar"/>
              </w:rPr>
              <w:t>40</w:t>
            </w:r>
            <w:r>
              <w:rPr>
                <w:rFonts w:hint="eastAsia"/>
                <w:color w:val="000000"/>
                <w:kern w:val="0"/>
                <w:sz w:val="15"/>
                <w:szCs w:val="15"/>
                <w:lang w:bidi="ar"/>
              </w:rPr>
              <w:t>；无：</w:t>
            </w:r>
            <w:r>
              <w:rPr>
                <w:rFonts w:hint="eastAsia"/>
                <w:color w:val="000000"/>
                <w:kern w:val="0"/>
                <w:sz w:val="15"/>
                <w:szCs w:val="15"/>
                <w:lang w:bidi="ar"/>
              </w:rPr>
              <w:t>0</w:t>
            </w:r>
          </w:p>
        </w:tc>
      </w:tr>
      <w:tr w:rsidR="0025680F" w14:paraId="23A3F145" w14:textId="77777777">
        <w:trPr>
          <w:jc w:val="center"/>
        </w:trPr>
        <w:tc>
          <w:tcPr>
            <w:tcW w:w="1390" w:type="dxa"/>
            <w:vMerge w:val="restart"/>
            <w:tcBorders>
              <w:top w:val="nil"/>
              <w:left w:val="nil"/>
              <w:bottom w:val="nil"/>
              <w:right w:val="nil"/>
            </w:tcBorders>
            <w:shd w:val="clear" w:color="auto" w:fill="auto"/>
            <w:vAlign w:val="center"/>
          </w:tcPr>
          <w:p w14:paraId="646FC2D9"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效果评价</w:t>
            </w:r>
          </w:p>
        </w:tc>
        <w:tc>
          <w:tcPr>
            <w:tcW w:w="1507" w:type="dxa"/>
            <w:tcBorders>
              <w:top w:val="nil"/>
              <w:left w:val="nil"/>
              <w:bottom w:val="nil"/>
              <w:right w:val="nil"/>
            </w:tcBorders>
            <w:shd w:val="clear" w:color="auto" w:fill="auto"/>
            <w:vAlign w:val="center"/>
          </w:tcPr>
          <w:p w14:paraId="3F2128A3"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公众态度</w:t>
            </w:r>
          </w:p>
        </w:tc>
        <w:tc>
          <w:tcPr>
            <w:tcW w:w="1163" w:type="dxa"/>
            <w:tcBorders>
              <w:top w:val="nil"/>
              <w:left w:val="nil"/>
              <w:bottom w:val="nil"/>
              <w:right w:val="nil"/>
            </w:tcBorders>
            <w:shd w:val="clear" w:color="auto" w:fill="auto"/>
            <w:vAlign w:val="center"/>
          </w:tcPr>
          <w:p w14:paraId="3984E4B8"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10</w:t>
            </w:r>
          </w:p>
        </w:tc>
        <w:tc>
          <w:tcPr>
            <w:tcW w:w="3084" w:type="dxa"/>
            <w:tcBorders>
              <w:top w:val="nil"/>
              <w:left w:val="nil"/>
              <w:bottom w:val="nil"/>
              <w:right w:val="nil"/>
            </w:tcBorders>
            <w:shd w:val="clear" w:color="auto" w:fill="auto"/>
            <w:vAlign w:val="center"/>
          </w:tcPr>
          <w:p w14:paraId="5BF29CA1"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外界评价，正负面情感态度对比</w:t>
            </w:r>
          </w:p>
        </w:tc>
        <w:tc>
          <w:tcPr>
            <w:tcW w:w="3389" w:type="dxa"/>
            <w:tcBorders>
              <w:top w:val="nil"/>
              <w:left w:val="nil"/>
              <w:bottom w:val="nil"/>
              <w:right w:val="nil"/>
            </w:tcBorders>
            <w:shd w:val="clear" w:color="auto" w:fill="auto"/>
            <w:vAlign w:val="center"/>
          </w:tcPr>
          <w:p w14:paraId="4A5470AD"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分数</w:t>
            </w:r>
            <w:r>
              <w:rPr>
                <w:rFonts w:hint="eastAsia"/>
                <w:color w:val="000000"/>
                <w:kern w:val="0"/>
                <w:sz w:val="15"/>
                <w:szCs w:val="15"/>
                <w:lang w:bidi="ar"/>
              </w:rPr>
              <w:t>=100*</w:t>
            </w:r>
            <w:r>
              <w:rPr>
                <w:rFonts w:hint="eastAsia"/>
                <w:color w:val="000000"/>
                <w:kern w:val="0"/>
                <w:sz w:val="15"/>
                <w:szCs w:val="15"/>
                <w:lang w:bidi="ar"/>
              </w:rPr>
              <w:t>（正面占比</w:t>
            </w:r>
            <w:r>
              <w:rPr>
                <w:rFonts w:hint="eastAsia"/>
                <w:color w:val="000000"/>
                <w:kern w:val="0"/>
                <w:sz w:val="15"/>
                <w:szCs w:val="15"/>
                <w:lang w:bidi="ar"/>
              </w:rPr>
              <w:t>-</w:t>
            </w:r>
            <w:r>
              <w:rPr>
                <w:rFonts w:hint="eastAsia"/>
                <w:color w:val="000000"/>
                <w:kern w:val="0"/>
                <w:sz w:val="15"/>
                <w:szCs w:val="15"/>
                <w:lang w:bidi="ar"/>
              </w:rPr>
              <w:t>负面占比）</w:t>
            </w:r>
          </w:p>
        </w:tc>
      </w:tr>
      <w:tr w:rsidR="0025680F" w14:paraId="270B5812" w14:textId="77777777">
        <w:trPr>
          <w:jc w:val="center"/>
        </w:trPr>
        <w:tc>
          <w:tcPr>
            <w:tcW w:w="1390" w:type="dxa"/>
            <w:vMerge/>
            <w:tcBorders>
              <w:top w:val="nil"/>
              <w:left w:val="nil"/>
              <w:bottom w:val="nil"/>
              <w:right w:val="nil"/>
            </w:tcBorders>
            <w:shd w:val="clear" w:color="auto" w:fill="auto"/>
            <w:vAlign w:val="center"/>
          </w:tcPr>
          <w:p w14:paraId="5626D9C8" w14:textId="77777777" w:rsidR="0025680F" w:rsidRDefault="0025680F">
            <w:pPr>
              <w:snapToGrid w:val="0"/>
              <w:jc w:val="center"/>
              <w:rPr>
                <w:color w:val="000000"/>
                <w:sz w:val="15"/>
                <w:szCs w:val="15"/>
              </w:rPr>
            </w:pPr>
          </w:p>
        </w:tc>
        <w:tc>
          <w:tcPr>
            <w:tcW w:w="1507" w:type="dxa"/>
            <w:tcBorders>
              <w:top w:val="nil"/>
              <w:left w:val="nil"/>
              <w:bottom w:val="nil"/>
              <w:right w:val="nil"/>
            </w:tcBorders>
            <w:shd w:val="clear" w:color="auto" w:fill="auto"/>
            <w:vAlign w:val="center"/>
          </w:tcPr>
          <w:p w14:paraId="5A780A29"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有无次生舆情</w:t>
            </w:r>
          </w:p>
        </w:tc>
        <w:tc>
          <w:tcPr>
            <w:tcW w:w="1163" w:type="dxa"/>
            <w:tcBorders>
              <w:top w:val="nil"/>
              <w:left w:val="nil"/>
              <w:bottom w:val="nil"/>
              <w:right w:val="nil"/>
            </w:tcBorders>
            <w:shd w:val="clear" w:color="auto" w:fill="auto"/>
            <w:vAlign w:val="center"/>
          </w:tcPr>
          <w:p w14:paraId="5C3F37A8"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10</w:t>
            </w:r>
          </w:p>
        </w:tc>
        <w:tc>
          <w:tcPr>
            <w:tcW w:w="3084" w:type="dxa"/>
            <w:tcBorders>
              <w:top w:val="nil"/>
              <w:left w:val="nil"/>
              <w:bottom w:val="nil"/>
              <w:right w:val="nil"/>
            </w:tcBorders>
            <w:shd w:val="clear" w:color="auto" w:fill="auto"/>
            <w:vAlign w:val="center"/>
          </w:tcPr>
          <w:p w14:paraId="778972E5"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舆论是否失焦，是否造成次生负面传播</w:t>
            </w:r>
          </w:p>
        </w:tc>
        <w:tc>
          <w:tcPr>
            <w:tcW w:w="3389" w:type="dxa"/>
            <w:tcBorders>
              <w:top w:val="nil"/>
              <w:left w:val="nil"/>
              <w:bottom w:val="nil"/>
              <w:right w:val="nil"/>
            </w:tcBorders>
            <w:shd w:val="clear" w:color="auto" w:fill="auto"/>
            <w:vAlign w:val="center"/>
          </w:tcPr>
          <w:p w14:paraId="177541E4"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无：</w:t>
            </w:r>
            <w:r>
              <w:rPr>
                <w:rFonts w:hint="eastAsia"/>
                <w:color w:val="000000"/>
                <w:kern w:val="0"/>
                <w:sz w:val="15"/>
                <w:szCs w:val="15"/>
                <w:lang w:bidi="ar"/>
              </w:rPr>
              <w:t xml:space="preserve">50; </w:t>
            </w:r>
            <w:r>
              <w:rPr>
                <w:rFonts w:hint="eastAsia"/>
                <w:color w:val="000000"/>
                <w:kern w:val="0"/>
                <w:sz w:val="15"/>
                <w:szCs w:val="15"/>
                <w:lang w:bidi="ar"/>
              </w:rPr>
              <w:t>轻：</w:t>
            </w:r>
            <w:r>
              <w:rPr>
                <w:rFonts w:hint="eastAsia"/>
                <w:color w:val="000000"/>
                <w:kern w:val="0"/>
                <w:sz w:val="15"/>
                <w:szCs w:val="15"/>
                <w:lang w:bidi="ar"/>
              </w:rPr>
              <w:t xml:space="preserve">20; </w:t>
            </w:r>
            <w:r>
              <w:rPr>
                <w:rFonts w:hint="eastAsia"/>
                <w:color w:val="000000"/>
                <w:kern w:val="0"/>
                <w:sz w:val="15"/>
                <w:szCs w:val="15"/>
                <w:lang w:bidi="ar"/>
              </w:rPr>
              <w:t>中：</w:t>
            </w:r>
            <w:r>
              <w:rPr>
                <w:rFonts w:hint="eastAsia"/>
                <w:color w:val="000000"/>
                <w:kern w:val="0"/>
                <w:sz w:val="15"/>
                <w:szCs w:val="15"/>
                <w:lang w:bidi="ar"/>
              </w:rPr>
              <w:t xml:space="preserve">-20; </w:t>
            </w:r>
            <w:r>
              <w:rPr>
                <w:rFonts w:hint="eastAsia"/>
                <w:color w:val="000000"/>
                <w:kern w:val="0"/>
                <w:sz w:val="15"/>
                <w:szCs w:val="15"/>
                <w:lang w:bidi="ar"/>
              </w:rPr>
              <w:t>重：</w:t>
            </w:r>
            <w:r>
              <w:rPr>
                <w:rFonts w:hint="eastAsia"/>
                <w:color w:val="000000"/>
                <w:kern w:val="0"/>
                <w:sz w:val="15"/>
                <w:szCs w:val="15"/>
                <w:lang w:bidi="ar"/>
              </w:rPr>
              <w:t>-50</w:t>
            </w:r>
          </w:p>
        </w:tc>
      </w:tr>
      <w:tr w:rsidR="0025680F" w14:paraId="456E8502" w14:textId="77777777">
        <w:trPr>
          <w:jc w:val="center"/>
        </w:trPr>
        <w:tc>
          <w:tcPr>
            <w:tcW w:w="1390" w:type="dxa"/>
            <w:vMerge/>
            <w:tcBorders>
              <w:top w:val="nil"/>
              <w:left w:val="nil"/>
              <w:bottom w:val="nil"/>
              <w:right w:val="nil"/>
            </w:tcBorders>
            <w:shd w:val="clear" w:color="auto" w:fill="auto"/>
            <w:vAlign w:val="center"/>
          </w:tcPr>
          <w:p w14:paraId="2EED6FC9" w14:textId="77777777" w:rsidR="0025680F" w:rsidRDefault="0025680F">
            <w:pPr>
              <w:snapToGrid w:val="0"/>
              <w:jc w:val="center"/>
              <w:rPr>
                <w:color w:val="000000"/>
                <w:sz w:val="15"/>
                <w:szCs w:val="15"/>
              </w:rPr>
            </w:pPr>
          </w:p>
        </w:tc>
        <w:tc>
          <w:tcPr>
            <w:tcW w:w="1507" w:type="dxa"/>
            <w:tcBorders>
              <w:top w:val="nil"/>
              <w:left w:val="nil"/>
              <w:bottom w:val="nil"/>
              <w:right w:val="nil"/>
            </w:tcBorders>
            <w:shd w:val="clear" w:color="auto" w:fill="auto"/>
            <w:vAlign w:val="center"/>
          </w:tcPr>
          <w:p w14:paraId="6F457EF1"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生存时间</w:t>
            </w:r>
          </w:p>
        </w:tc>
        <w:tc>
          <w:tcPr>
            <w:tcW w:w="1163" w:type="dxa"/>
            <w:tcBorders>
              <w:top w:val="nil"/>
              <w:left w:val="nil"/>
              <w:bottom w:val="nil"/>
              <w:right w:val="nil"/>
            </w:tcBorders>
            <w:shd w:val="clear" w:color="auto" w:fill="auto"/>
            <w:vAlign w:val="center"/>
          </w:tcPr>
          <w:p w14:paraId="08EAA0A2"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10</w:t>
            </w:r>
          </w:p>
        </w:tc>
        <w:tc>
          <w:tcPr>
            <w:tcW w:w="3084" w:type="dxa"/>
            <w:tcBorders>
              <w:top w:val="nil"/>
              <w:left w:val="nil"/>
              <w:bottom w:val="nil"/>
              <w:right w:val="nil"/>
            </w:tcBorders>
            <w:shd w:val="clear" w:color="auto" w:fill="auto"/>
            <w:vAlign w:val="center"/>
          </w:tcPr>
          <w:p w14:paraId="3DD96593"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整个事件从发生到平息的持续时间</w:t>
            </w:r>
          </w:p>
        </w:tc>
        <w:tc>
          <w:tcPr>
            <w:tcW w:w="3389" w:type="dxa"/>
            <w:tcBorders>
              <w:top w:val="nil"/>
              <w:left w:val="nil"/>
              <w:bottom w:val="nil"/>
              <w:right w:val="nil"/>
            </w:tcBorders>
            <w:shd w:val="clear" w:color="auto" w:fill="auto"/>
            <w:vAlign w:val="center"/>
          </w:tcPr>
          <w:p w14:paraId="4EE3083B"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天数</w:t>
            </w:r>
            <w:r>
              <w:rPr>
                <w:rFonts w:hint="eastAsia"/>
                <w:color w:val="000000"/>
                <w:kern w:val="0"/>
                <w:sz w:val="15"/>
                <w:szCs w:val="15"/>
                <w:lang w:bidi="ar"/>
              </w:rPr>
              <w:t xml:space="preserve">=[0,2]:50; </w:t>
            </w:r>
            <w:r>
              <w:rPr>
                <w:rFonts w:hint="eastAsia"/>
                <w:color w:val="000000"/>
                <w:kern w:val="0"/>
                <w:sz w:val="15"/>
                <w:szCs w:val="15"/>
                <w:lang w:bidi="ar"/>
              </w:rPr>
              <w:t>天数</w:t>
            </w:r>
            <w:r>
              <w:rPr>
                <w:rFonts w:hint="eastAsia"/>
                <w:color w:val="000000"/>
                <w:kern w:val="0"/>
                <w:sz w:val="15"/>
                <w:szCs w:val="15"/>
                <w:lang w:bidi="ar"/>
              </w:rPr>
              <w:t>=[2</w:t>
            </w:r>
            <w:r>
              <w:rPr>
                <w:rFonts w:hint="eastAsia"/>
                <w:color w:val="000000"/>
                <w:kern w:val="0"/>
                <w:sz w:val="15"/>
                <w:szCs w:val="15"/>
                <w:lang w:bidi="ar"/>
              </w:rPr>
              <w:t>，</w:t>
            </w:r>
            <w:r>
              <w:rPr>
                <w:rFonts w:hint="eastAsia"/>
                <w:color w:val="000000"/>
                <w:kern w:val="0"/>
                <w:sz w:val="15"/>
                <w:szCs w:val="15"/>
                <w:lang w:bidi="ar"/>
              </w:rPr>
              <w:t xml:space="preserve">5]:30; </w:t>
            </w:r>
            <w:r>
              <w:rPr>
                <w:rFonts w:hint="eastAsia"/>
                <w:color w:val="000000"/>
                <w:kern w:val="0"/>
                <w:sz w:val="15"/>
                <w:szCs w:val="15"/>
                <w:lang w:bidi="ar"/>
              </w:rPr>
              <w:t>天数</w:t>
            </w:r>
            <w:r>
              <w:rPr>
                <w:rFonts w:hint="eastAsia"/>
                <w:color w:val="000000"/>
                <w:kern w:val="0"/>
                <w:sz w:val="15"/>
                <w:szCs w:val="15"/>
                <w:lang w:bidi="ar"/>
              </w:rPr>
              <w:t>=[5</w:t>
            </w:r>
            <w:r>
              <w:rPr>
                <w:rFonts w:hint="eastAsia"/>
                <w:color w:val="000000"/>
                <w:kern w:val="0"/>
                <w:sz w:val="15"/>
                <w:szCs w:val="15"/>
                <w:lang w:bidi="ar"/>
              </w:rPr>
              <w:t>，</w:t>
            </w:r>
            <w:r>
              <w:rPr>
                <w:rFonts w:hint="eastAsia"/>
                <w:color w:val="000000"/>
                <w:kern w:val="0"/>
                <w:sz w:val="15"/>
                <w:szCs w:val="15"/>
                <w:lang w:bidi="ar"/>
              </w:rPr>
              <w:t xml:space="preserve">7]:0; </w:t>
            </w:r>
            <w:r>
              <w:rPr>
                <w:rFonts w:hint="eastAsia"/>
                <w:color w:val="000000"/>
                <w:kern w:val="0"/>
                <w:sz w:val="15"/>
                <w:szCs w:val="15"/>
                <w:lang w:bidi="ar"/>
              </w:rPr>
              <w:t>天数</w:t>
            </w:r>
            <w:r>
              <w:rPr>
                <w:rFonts w:hint="eastAsia"/>
                <w:color w:val="000000"/>
                <w:kern w:val="0"/>
                <w:sz w:val="15"/>
                <w:szCs w:val="15"/>
                <w:lang w:bidi="ar"/>
              </w:rPr>
              <w:t>=[7</w:t>
            </w:r>
            <w:r>
              <w:rPr>
                <w:rFonts w:hint="eastAsia"/>
                <w:color w:val="000000"/>
                <w:kern w:val="0"/>
                <w:sz w:val="15"/>
                <w:szCs w:val="15"/>
                <w:lang w:bidi="ar"/>
              </w:rPr>
              <w:t>，</w:t>
            </w:r>
            <w:r>
              <w:rPr>
                <w:rFonts w:hint="eastAsia"/>
                <w:color w:val="000000"/>
                <w:kern w:val="0"/>
                <w:sz w:val="15"/>
                <w:szCs w:val="15"/>
                <w:lang w:bidi="ar"/>
              </w:rPr>
              <w:t>14]:-30</w:t>
            </w:r>
            <w:r>
              <w:rPr>
                <w:rFonts w:hint="eastAsia"/>
                <w:color w:val="000000"/>
                <w:kern w:val="0"/>
                <w:sz w:val="15"/>
                <w:szCs w:val="15"/>
                <w:lang w:bidi="ar"/>
              </w:rPr>
              <w:t>，天数</w:t>
            </w:r>
            <w:r>
              <w:rPr>
                <w:rFonts w:hint="eastAsia"/>
                <w:color w:val="000000"/>
                <w:kern w:val="0"/>
                <w:sz w:val="15"/>
                <w:szCs w:val="15"/>
                <w:lang w:bidi="ar"/>
              </w:rPr>
              <w:t>&gt;14:-50</w:t>
            </w:r>
          </w:p>
        </w:tc>
      </w:tr>
      <w:tr w:rsidR="0025680F" w14:paraId="52FB66D8" w14:textId="77777777">
        <w:trPr>
          <w:jc w:val="center"/>
        </w:trPr>
        <w:tc>
          <w:tcPr>
            <w:tcW w:w="1390" w:type="dxa"/>
            <w:tcBorders>
              <w:top w:val="nil"/>
              <w:left w:val="nil"/>
              <w:bottom w:val="single" w:sz="12" w:space="0" w:color="auto"/>
              <w:right w:val="nil"/>
            </w:tcBorders>
            <w:shd w:val="clear" w:color="auto" w:fill="auto"/>
            <w:vAlign w:val="center"/>
          </w:tcPr>
          <w:p w14:paraId="680B240B"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发生危机系数</w:t>
            </w:r>
          </w:p>
        </w:tc>
        <w:tc>
          <w:tcPr>
            <w:tcW w:w="1507" w:type="dxa"/>
            <w:tcBorders>
              <w:top w:val="nil"/>
              <w:left w:val="nil"/>
              <w:bottom w:val="single" w:sz="12" w:space="0" w:color="auto"/>
              <w:right w:val="nil"/>
            </w:tcBorders>
            <w:shd w:val="clear" w:color="auto" w:fill="auto"/>
            <w:vAlign w:val="center"/>
          </w:tcPr>
          <w:p w14:paraId="2A02976F"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危机个数与危机级别</w:t>
            </w:r>
          </w:p>
        </w:tc>
        <w:tc>
          <w:tcPr>
            <w:tcW w:w="1163" w:type="dxa"/>
            <w:tcBorders>
              <w:top w:val="nil"/>
              <w:left w:val="nil"/>
              <w:bottom w:val="single" w:sz="12" w:space="0" w:color="auto"/>
              <w:right w:val="nil"/>
            </w:tcBorders>
            <w:shd w:val="clear" w:color="auto" w:fill="auto"/>
            <w:vAlign w:val="center"/>
          </w:tcPr>
          <w:p w14:paraId="24243029" w14:textId="77777777" w:rsidR="0025680F" w:rsidRDefault="0025680F">
            <w:pPr>
              <w:snapToGrid w:val="0"/>
              <w:jc w:val="center"/>
              <w:rPr>
                <w:color w:val="000000"/>
                <w:sz w:val="15"/>
                <w:szCs w:val="15"/>
              </w:rPr>
            </w:pPr>
          </w:p>
        </w:tc>
        <w:tc>
          <w:tcPr>
            <w:tcW w:w="3084" w:type="dxa"/>
            <w:tcBorders>
              <w:top w:val="nil"/>
              <w:left w:val="nil"/>
              <w:bottom w:val="single" w:sz="12" w:space="0" w:color="auto"/>
              <w:right w:val="nil"/>
            </w:tcBorders>
            <w:shd w:val="clear" w:color="auto" w:fill="auto"/>
            <w:vAlign w:val="center"/>
          </w:tcPr>
          <w:p w14:paraId="31C4B0B8"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作为调节系数，发生危机次数越多，并不意味着危机应对越好或越差，而是会放大前面的效果评价</w:t>
            </w:r>
          </w:p>
        </w:tc>
        <w:tc>
          <w:tcPr>
            <w:tcW w:w="3389" w:type="dxa"/>
            <w:tcBorders>
              <w:top w:val="nil"/>
              <w:left w:val="nil"/>
              <w:bottom w:val="single" w:sz="12" w:space="0" w:color="auto"/>
              <w:right w:val="nil"/>
            </w:tcBorders>
            <w:shd w:val="clear" w:color="auto" w:fill="auto"/>
            <w:vAlign w:val="center"/>
          </w:tcPr>
          <w:p w14:paraId="594EED82" w14:textId="77777777" w:rsidR="0025680F" w:rsidRDefault="00D201ED">
            <w:pPr>
              <w:widowControl/>
              <w:snapToGrid w:val="0"/>
              <w:jc w:val="center"/>
              <w:textAlignment w:val="center"/>
              <w:rPr>
                <w:color w:val="000000"/>
                <w:sz w:val="15"/>
                <w:szCs w:val="15"/>
              </w:rPr>
            </w:pPr>
            <w:r>
              <w:rPr>
                <w:rFonts w:hint="eastAsia"/>
                <w:color w:val="000000"/>
                <w:kern w:val="0"/>
                <w:sz w:val="15"/>
                <w:szCs w:val="15"/>
                <w:lang w:bidi="ar"/>
              </w:rPr>
              <w:t>系数</w:t>
            </w:r>
            <w:r>
              <w:rPr>
                <w:rFonts w:hint="eastAsia"/>
                <w:color w:val="000000"/>
                <w:kern w:val="0"/>
                <w:sz w:val="15"/>
                <w:szCs w:val="15"/>
                <w:lang w:bidi="ar"/>
              </w:rPr>
              <w:t>=</w:t>
            </w:r>
            <w:r>
              <w:rPr>
                <w:rFonts w:hint="eastAsia"/>
                <w:color w:val="000000"/>
                <w:kern w:val="0"/>
                <w:sz w:val="15"/>
                <w:szCs w:val="15"/>
                <w:lang w:bidi="ar"/>
              </w:rPr>
              <w:t>本单位发生危机数量</w:t>
            </w:r>
            <w:r>
              <w:rPr>
                <w:rFonts w:hint="eastAsia"/>
                <w:color w:val="000000"/>
                <w:kern w:val="0"/>
                <w:sz w:val="15"/>
                <w:szCs w:val="15"/>
                <w:lang w:bidi="ar"/>
              </w:rPr>
              <w:t>*</w:t>
            </w:r>
            <w:r>
              <w:rPr>
                <w:rFonts w:hint="eastAsia"/>
                <w:color w:val="000000"/>
                <w:kern w:val="0"/>
                <w:sz w:val="15"/>
                <w:szCs w:val="15"/>
                <w:lang w:bidi="ar"/>
              </w:rPr>
              <w:t>危机级别</w:t>
            </w:r>
            <w:r>
              <w:rPr>
                <w:rFonts w:hint="eastAsia"/>
                <w:color w:val="000000"/>
                <w:kern w:val="0"/>
                <w:sz w:val="15"/>
                <w:szCs w:val="15"/>
                <w:lang w:bidi="ar"/>
              </w:rPr>
              <w:t>/</w:t>
            </w:r>
            <w:r>
              <w:rPr>
                <w:rFonts w:hint="eastAsia"/>
                <w:color w:val="000000"/>
                <w:kern w:val="0"/>
                <w:sz w:val="15"/>
                <w:szCs w:val="15"/>
                <w:lang w:bidi="ar"/>
              </w:rPr>
              <w:t>行业均值</w:t>
            </w:r>
          </w:p>
        </w:tc>
      </w:tr>
    </w:tbl>
    <w:p w14:paraId="3619BED7" w14:textId="77777777" w:rsidR="0025680F" w:rsidRDefault="00D201ED">
      <w:pPr>
        <w:pStyle w:val="3"/>
        <w:numPr>
          <w:ilvl w:val="0"/>
          <w:numId w:val="0"/>
        </w:numPr>
      </w:pPr>
      <w:r>
        <w:rPr>
          <w:rFonts w:hint="eastAsia"/>
        </w:rPr>
        <w:t>三、</w:t>
      </w:r>
      <w:r>
        <w:rPr>
          <w:rFonts w:hint="eastAsia"/>
        </w:rPr>
        <w:t>研究方法</w:t>
      </w:r>
    </w:p>
    <w:p w14:paraId="34452670" w14:textId="77777777" w:rsidR="0025680F" w:rsidRDefault="00D201ED">
      <w:pPr>
        <w:ind w:firstLineChars="200" w:firstLine="480"/>
      </w:pPr>
      <w:r>
        <w:rPr>
          <w:rFonts w:hint="eastAsia"/>
        </w:rPr>
        <w:t>本报告的研究数据来源于北京交通大学交通舆情研究中心构建的危机事件库，通过系统筛选</w:t>
      </w:r>
      <w:r>
        <w:rPr>
          <w:rFonts w:hint="eastAsia"/>
        </w:rPr>
        <w:t>2021</w:t>
      </w:r>
      <w:r>
        <w:rPr>
          <w:rFonts w:hint="eastAsia"/>
        </w:rPr>
        <w:t>年至</w:t>
      </w:r>
      <w:r>
        <w:rPr>
          <w:rFonts w:hint="eastAsia"/>
        </w:rPr>
        <w:t>2025</w:t>
      </w:r>
      <w:r>
        <w:rPr>
          <w:rFonts w:hint="eastAsia"/>
        </w:rPr>
        <w:t>年间发生的、具有较高公众关注度和社会影响力的交通系统危机事件作为研究样本。在事件选取过程中，我们综合考虑了事件的媒体曝光量、舆情热度、涉及范围及社会关切程度等多重维度，以确保样本的代表性和研究的实效性。经过筛选、去重、比对，最后入选的影响力较大的交通行业危机事件共</w:t>
      </w:r>
      <w:r>
        <w:rPr>
          <w:rFonts w:hint="eastAsia"/>
        </w:rPr>
        <w:t>140</w:t>
      </w:r>
      <w:r>
        <w:rPr>
          <w:rFonts w:hint="eastAsia"/>
        </w:rPr>
        <w:t>件。</w:t>
      </w:r>
    </w:p>
    <w:p w14:paraId="24CD488B" w14:textId="77777777" w:rsidR="0025680F" w:rsidRDefault="00D201ED">
      <w:pPr>
        <w:ind w:firstLineChars="200" w:firstLine="480"/>
      </w:pPr>
      <w:r>
        <w:rPr>
          <w:rFonts w:hint="eastAsia"/>
        </w:rPr>
        <w:t>基于前期构建的危机应对能力评价体系，本研究采用定量与定性相结合的编码分析方法，对每一事件中涉事主体的响应行为进行细致标注与多维评估。评价</w:t>
      </w:r>
      <w:r>
        <w:rPr>
          <w:rFonts w:hint="eastAsia"/>
        </w:rPr>
        <w:t>指标涵盖发声时间、发布主体及回应效果等多个方面，由经过统一培训的编码人员分别进行背对背标注，并通过一致性检验确保数据分析的信度与效度。</w:t>
      </w:r>
    </w:p>
    <w:p w14:paraId="36BFF35A" w14:textId="77777777" w:rsidR="0025680F" w:rsidRDefault="00D201ED">
      <w:pPr>
        <w:ind w:firstLineChars="200" w:firstLine="480"/>
      </w:pPr>
      <w:r>
        <w:rPr>
          <w:rFonts w:hint="eastAsia"/>
        </w:rPr>
        <w:t>最终，本研究依据既定指标体系对每一案例进行系统评分，从而实现对不同铁路局、航空公司及机场在危机应对与传播能力方面的客观评估与比较分析，为行业危机管理提供数据支撑与改进依据。</w:t>
      </w:r>
    </w:p>
    <w:p w14:paraId="2B0DCE05" w14:textId="77777777" w:rsidR="0025680F" w:rsidRDefault="00D201ED">
      <w:pPr>
        <w:pStyle w:val="3"/>
        <w:numPr>
          <w:ilvl w:val="0"/>
          <w:numId w:val="0"/>
        </w:numPr>
      </w:pPr>
      <w:r>
        <w:rPr>
          <w:rFonts w:hint="eastAsia"/>
        </w:rPr>
        <w:t>四、</w:t>
      </w:r>
      <w:r>
        <w:rPr>
          <w:rFonts w:hint="eastAsia"/>
        </w:rPr>
        <w:t>铁路系统危机应对能力排行</w:t>
      </w:r>
    </w:p>
    <w:p w14:paraId="52D0064C" w14:textId="77777777" w:rsidR="0025680F" w:rsidRDefault="00D201ED">
      <w:pPr>
        <w:ind w:firstLineChars="200" w:firstLine="480"/>
      </w:pPr>
      <w:r>
        <w:rPr>
          <w:rFonts w:hint="eastAsia"/>
        </w:rPr>
        <w:t>根据数据分析结果，我国主要铁路局危机应对能力呈现明显梯队分化，以下是排名前八的铁路局：上海铁路局、广州铁路局、国铁集团、南宁铁路局、南昌铁路局、太原铁路局、成都铁路局、郑州</w:t>
      </w:r>
      <w:r>
        <w:rPr>
          <w:rFonts w:hint="eastAsia"/>
        </w:rPr>
        <w:t>铁路局。</w:t>
      </w:r>
    </w:p>
    <w:p w14:paraId="4A899573" w14:textId="77777777" w:rsidR="0025680F" w:rsidRDefault="00D201ED">
      <w:pPr>
        <w:pStyle w:val="a3"/>
        <w:ind w:firstLineChars="200" w:firstLine="480"/>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 xml:space="preserve">2 </w:t>
      </w:r>
      <w:r>
        <w:rPr>
          <w:rFonts w:ascii="方正仿宋_GB2312" w:eastAsia="方正仿宋_GB2312" w:hAnsi="方正仿宋_GB2312" w:hint="eastAsia"/>
        </w:rPr>
        <w:t>铁路系统危机应对能力排行（保留前八名）</w:t>
      </w:r>
    </w:p>
    <w:tbl>
      <w:tblPr>
        <w:tblpPr w:leftFromText="180" w:rightFromText="180" w:vertAnchor="text" w:horzAnchor="page" w:tblpXSpec="center" w:tblpY="12"/>
        <w:tblOverlap w:val="never"/>
        <w:tblW w:w="10735" w:type="dxa"/>
        <w:jc w:val="center"/>
        <w:tblLayout w:type="fixed"/>
        <w:tblCellMar>
          <w:top w:w="40" w:type="dxa"/>
          <w:left w:w="64" w:type="dxa"/>
          <w:bottom w:w="40" w:type="dxa"/>
          <w:right w:w="64" w:type="dxa"/>
        </w:tblCellMar>
        <w:tblLook w:val="04A0" w:firstRow="1" w:lastRow="0" w:firstColumn="1" w:lastColumn="0" w:noHBand="0" w:noVBand="1"/>
      </w:tblPr>
      <w:tblGrid>
        <w:gridCol w:w="1262"/>
        <w:gridCol w:w="754"/>
        <w:gridCol w:w="754"/>
        <w:gridCol w:w="754"/>
        <w:gridCol w:w="874"/>
        <w:gridCol w:w="874"/>
        <w:gridCol w:w="754"/>
        <w:gridCol w:w="754"/>
        <w:gridCol w:w="874"/>
        <w:gridCol w:w="754"/>
        <w:gridCol w:w="754"/>
        <w:gridCol w:w="748"/>
        <w:gridCol w:w="825"/>
      </w:tblGrid>
      <w:tr w:rsidR="0025680F" w14:paraId="26041F02" w14:textId="77777777">
        <w:trPr>
          <w:tblHeader/>
          <w:jc w:val="center"/>
        </w:trPr>
        <w:tc>
          <w:tcPr>
            <w:tcW w:w="1262" w:type="dxa"/>
            <w:tcBorders>
              <w:top w:val="single" w:sz="4" w:space="0" w:color="auto"/>
              <w:left w:val="nil"/>
              <w:bottom w:val="single" w:sz="4" w:space="0" w:color="auto"/>
              <w:right w:val="nil"/>
            </w:tcBorders>
            <w:shd w:val="clear" w:color="auto" w:fill="auto"/>
            <w:noWrap/>
            <w:vAlign w:val="center"/>
          </w:tcPr>
          <w:p w14:paraId="221E0776" w14:textId="77777777" w:rsidR="0025680F" w:rsidRDefault="00D201ED">
            <w:pPr>
              <w:snapToGrid w:val="0"/>
              <w:jc w:val="center"/>
              <w:rPr>
                <w:bCs/>
                <w:sz w:val="15"/>
                <w:szCs w:val="15"/>
              </w:rPr>
            </w:pPr>
            <w:r>
              <w:rPr>
                <w:rFonts w:hint="eastAsia"/>
                <w:bCs/>
                <w:sz w:val="15"/>
                <w:szCs w:val="15"/>
              </w:rPr>
              <w:t>涉事主体</w:t>
            </w:r>
          </w:p>
        </w:tc>
        <w:tc>
          <w:tcPr>
            <w:tcW w:w="754" w:type="dxa"/>
            <w:tcBorders>
              <w:top w:val="single" w:sz="4" w:space="0" w:color="auto"/>
              <w:left w:val="nil"/>
              <w:bottom w:val="single" w:sz="4" w:space="0" w:color="auto"/>
              <w:right w:val="nil"/>
            </w:tcBorders>
            <w:shd w:val="clear" w:color="auto" w:fill="auto"/>
            <w:noWrap/>
            <w:vAlign w:val="center"/>
          </w:tcPr>
          <w:p w14:paraId="346F2E5E" w14:textId="77777777" w:rsidR="0025680F" w:rsidRDefault="00D201ED">
            <w:pPr>
              <w:snapToGrid w:val="0"/>
              <w:jc w:val="center"/>
              <w:rPr>
                <w:bCs/>
                <w:sz w:val="15"/>
                <w:szCs w:val="15"/>
              </w:rPr>
            </w:pPr>
            <w:r>
              <w:rPr>
                <w:rFonts w:hint="eastAsia"/>
                <w:bCs/>
                <w:sz w:val="15"/>
                <w:szCs w:val="15"/>
              </w:rPr>
              <w:t>发声时间</w:t>
            </w:r>
          </w:p>
        </w:tc>
        <w:tc>
          <w:tcPr>
            <w:tcW w:w="754" w:type="dxa"/>
            <w:tcBorders>
              <w:top w:val="single" w:sz="4" w:space="0" w:color="auto"/>
              <w:left w:val="nil"/>
              <w:bottom w:val="single" w:sz="4" w:space="0" w:color="auto"/>
              <w:right w:val="nil"/>
            </w:tcBorders>
            <w:shd w:val="clear" w:color="auto" w:fill="auto"/>
            <w:noWrap/>
            <w:vAlign w:val="center"/>
          </w:tcPr>
          <w:p w14:paraId="1AE4B132" w14:textId="77777777" w:rsidR="0025680F" w:rsidRDefault="00D201ED">
            <w:pPr>
              <w:snapToGrid w:val="0"/>
              <w:jc w:val="center"/>
              <w:rPr>
                <w:bCs/>
                <w:sz w:val="15"/>
                <w:szCs w:val="15"/>
              </w:rPr>
            </w:pPr>
            <w:r>
              <w:rPr>
                <w:rFonts w:hint="eastAsia"/>
                <w:bCs/>
                <w:sz w:val="15"/>
                <w:szCs w:val="15"/>
              </w:rPr>
              <w:t>发布主体</w:t>
            </w:r>
          </w:p>
        </w:tc>
        <w:tc>
          <w:tcPr>
            <w:tcW w:w="754" w:type="dxa"/>
            <w:tcBorders>
              <w:top w:val="single" w:sz="4" w:space="0" w:color="auto"/>
              <w:left w:val="nil"/>
              <w:bottom w:val="single" w:sz="4" w:space="0" w:color="auto"/>
              <w:right w:val="nil"/>
            </w:tcBorders>
            <w:shd w:val="clear" w:color="auto" w:fill="auto"/>
            <w:noWrap/>
            <w:vAlign w:val="center"/>
          </w:tcPr>
          <w:p w14:paraId="7D12AFC6" w14:textId="77777777" w:rsidR="0025680F" w:rsidRDefault="00D201ED">
            <w:pPr>
              <w:snapToGrid w:val="0"/>
              <w:jc w:val="center"/>
              <w:rPr>
                <w:bCs/>
                <w:sz w:val="15"/>
                <w:szCs w:val="15"/>
              </w:rPr>
            </w:pPr>
            <w:r>
              <w:rPr>
                <w:rFonts w:hint="eastAsia"/>
                <w:bCs/>
                <w:sz w:val="15"/>
                <w:szCs w:val="15"/>
              </w:rPr>
              <w:t>发布渠道</w:t>
            </w:r>
          </w:p>
        </w:tc>
        <w:tc>
          <w:tcPr>
            <w:tcW w:w="874" w:type="dxa"/>
            <w:tcBorders>
              <w:top w:val="single" w:sz="4" w:space="0" w:color="auto"/>
              <w:left w:val="nil"/>
              <w:bottom w:val="single" w:sz="4" w:space="0" w:color="auto"/>
              <w:right w:val="nil"/>
            </w:tcBorders>
            <w:shd w:val="clear" w:color="auto" w:fill="auto"/>
            <w:noWrap/>
            <w:vAlign w:val="center"/>
          </w:tcPr>
          <w:p w14:paraId="44F9C86F" w14:textId="77777777" w:rsidR="0025680F" w:rsidRDefault="00D201ED">
            <w:pPr>
              <w:snapToGrid w:val="0"/>
              <w:jc w:val="center"/>
              <w:rPr>
                <w:bCs/>
                <w:sz w:val="15"/>
                <w:szCs w:val="15"/>
              </w:rPr>
            </w:pPr>
            <w:r>
              <w:rPr>
                <w:rFonts w:hint="eastAsia"/>
                <w:bCs/>
                <w:sz w:val="15"/>
                <w:szCs w:val="15"/>
              </w:rPr>
              <w:t>公众态度</w:t>
            </w:r>
          </w:p>
        </w:tc>
        <w:tc>
          <w:tcPr>
            <w:tcW w:w="874" w:type="dxa"/>
            <w:tcBorders>
              <w:top w:val="single" w:sz="4" w:space="0" w:color="auto"/>
              <w:left w:val="nil"/>
              <w:bottom w:val="single" w:sz="4" w:space="0" w:color="auto"/>
              <w:right w:val="nil"/>
            </w:tcBorders>
            <w:shd w:val="clear" w:color="auto" w:fill="auto"/>
            <w:noWrap/>
            <w:vAlign w:val="center"/>
          </w:tcPr>
          <w:p w14:paraId="449163D6" w14:textId="77777777" w:rsidR="0025680F" w:rsidRDefault="00D201ED">
            <w:pPr>
              <w:snapToGrid w:val="0"/>
              <w:jc w:val="center"/>
              <w:rPr>
                <w:bCs/>
                <w:sz w:val="15"/>
                <w:szCs w:val="15"/>
              </w:rPr>
            </w:pPr>
            <w:r>
              <w:rPr>
                <w:rFonts w:hint="eastAsia"/>
                <w:bCs/>
                <w:sz w:val="15"/>
                <w:szCs w:val="15"/>
              </w:rPr>
              <w:t>事实澄清</w:t>
            </w:r>
          </w:p>
        </w:tc>
        <w:tc>
          <w:tcPr>
            <w:tcW w:w="754" w:type="dxa"/>
            <w:tcBorders>
              <w:top w:val="single" w:sz="4" w:space="0" w:color="auto"/>
              <w:left w:val="nil"/>
              <w:bottom w:val="single" w:sz="4" w:space="0" w:color="auto"/>
              <w:right w:val="nil"/>
            </w:tcBorders>
            <w:shd w:val="clear" w:color="auto" w:fill="auto"/>
            <w:noWrap/>
            <w:vAlign w:val="center"/>
          </w:tcPr>
          <w:p w14:paraId="552F09CB" w14:textId="77777777" w:rsidR="0025680F" w:rsidRDefault="00D201ED">
            <w:pPr>
              <w:snapToGrid w:val="0"/>
              <w:jc w:val="center"/>
              <w:rPr>
                <w:bCs/>
                <w:sz w:val="15"/>
                <w:szCs w:val="15"/>
              </w:rPr>
            </w:pPr>
            <w:r>
              <w:rPr>
                <w:rFonts w:hint="eastAsia"/>
                <w:bCs/>
                <w:sz w:val="15"/>
                <w:szCs w:val="15"/>
              </w:rPr>
              <w:t>道歉担责</w:t>
            </w:r>
          </w:p>
        </w:tc>
        <w:tc>
          <w:tcPr>
            <w:tcW w:w="754" w:type="dxa"/>
            <w:tcBorders>
              <w:top w:val="single" w:sz="4" w:space="0" w:color="auto"/>
              <w:left w:val="nil"/>
              <w:bottom w:val="single" w:sz="4" w:space="0" w:color="auto"/>
              <w:right w:val="nil"/>
            </w:tcBorders>
            <w:shd w:val="clear" w:color="auto" w:fill="auto"/>
            <w:noWrap/>
            <w:vAlign w:val="center"/>
          </w:tcPr>
          <w:p w14:paraId="688B98B6" w14:textId="77777777" w:rsidR="0025680F" w:rsidRDefault="00D201ED">
            <w:pPr>
              <w:snapToGrid w:val="0"/>
              <w:jc w:val="center"/>
              <w:rPr>
                <w:bCs/>
                <w:sz w:val="15"/>
                <w:szCs w:val="15"/>
              </w:rPr>
            </w:pPr>
            <w:r>
              <w:rPr>
                <w:rFonts w:hint="eastAsia"/>
                <w:bCs/>
                <w:sz w:val="15"/>
                <w:szCs w:val="15"/>
              </w:rPr>
              <w:t>情感共鸣</w:t>
            </w:r>
          </w:p>
        </w:tc>
        <w:tc>
          <w:tcPr>
            <w:tcW w:w="874" w:type="dxa"/>
            <w:tcBorders>
              <w:top w:val="single" w:sz="4" w:space="0" w:color="auto"/>
              <w:left w:val="nil"/>
              <w:bottom w:val="single" w:sz="4" w:space="0" w:color="auto"/>
              <w:right w:val="nil"/>
            </w:tcBorders>
            <w:shd w:val="clear" w:color="auto" w:fill="auto"/>
            <w:noWrap/>
            <w:vAlign w:val="center"/>
          </w:tcPr>
          <w:p w14:paraId="3E61B797" w14:textId="77777777" w:rsidR="0025680F" w:rsidRDefault="00D201ED">
            <w:pPr>
              <w:snapToGrid w:val="0"/>
              <w:jc w:val="center"/>
              <w:rPr>
                <w:bCs/>
                <w:sz w:val="15"/>
                <w:szCs w:val="15"/>
              </w:rPr>
            </w:pPr>
            <w:r>
              <w:rPr>
                <w:rFonts w:hint="eastAsia"/>
                <w:bCs/>
                <w:sz w:val="15"/>
                <w:szCs w:val="15"/>
              </w:rPr>
              <w:t>次生舆情</w:t>
            </w:r>
          </w:p>
        </w:tc>
        <w:tc>
          <w:tcPr>
            <w:tcW w:w="754" w:type="dxa"/>
            <w:tcBorders>
              <w:top w:val="single" w:sz="4" w:space="0" w:color="auto"/>
              <w:left w:val="nil"/>
              <w:bottom w:val="single" w:sz="4" w:space="0" w:color="auto"/>
              <w:right w:val="nil"/>
            </w:tcBorders>
            <w:shd w:val="clear" w:color="auto" w:fill="auto"/>
            <w:noWrap/>
            <w:vAlign w:val="center"/>
          </w:tcPr>
          <w:p w14:paraId="79337A42" w14:textId="77777777" w:rsidR="0025680F" w:rsidRDefault="00D201ED">
            <w:pPr>
              <w:snapToGrid w:val="0"/>
              <w:jc w:val="center"/>
              <w:rPr>
                <w:bCs/>
                <w:sz w:val="15"/>
                <w:szCs w:val="15"/>
              </w:rPr>
            </w:pPr>
            <w:r>
              <w:rPr>
                <w:rFonts w:hint="eastAsia"/>
                <w:bCs/>
                <w:sz w:val="15"/>
                <w:szCs w:val="15"/>
              </w:rPr>
              <w:t>生存时间</w:t>
            </w:r>
          </w:p>
        </w:tc>
        <w:tc>
          <w:tcPr>
            <w:tcW w:w="754" w:type="dxa"/>
            <w:tcBorders>
              <w:top w:val="single" w:sz="4" w:space="0" w:color="auto"/>
              <w:left w:val="nil"/>
              <w:bottom w:val="single" w:sz="4" w:space="0" w:color="auto"/>
              <w:right w:val="nil"/>
            </w:tcBorders>
            <w:shd w:val="clear" w:color="auto" w:fill="auto"/>
            <w:noWrap/>
            <w:vAlign w:val="center"/>
          </w:tcPr>
          <w:p w14:paraId="424E44F6" w14:textId="77777777" w:rsidR="0025680F" w:rsidRDefault="00D201ED">
            <w:pPr>
              <w:snapToGrid w:val="0"/>
              <w:jc w:val="center"/>
              <w:rPr>
                <w:bCs/>
                <w:sz w:val="15"/>
                <w:szCs w:val="15"/>
              </w:rPr>
            </w:pPr>
            <w:r>
              <w:rPr>
                <w:rFonts w:hint="eastAsia"/>
                <w:bCs/>
                <w:sz w:val="15"/>
                <w:szCs w:val="15"/>
              </w:rPr>
              <w:t>危机个数</w:t>
            </w:r>
          </w:p>
        </w:tc>
        <w:tc>
          <w:tcPr>
            <w:tcW w:w="748" w:type="dxa"/>
            <w:tcBorders>
              <w:top w:val="single" w:sz="4" w:space="0" w:color="auto"/>
              <w:left w:val="nil"/>
              <w:bottom w:val="single" w:sz="4" w:space="0" w:color="auto"/>
              <w:right w:val="nil"/>
            </w:tcBorders>
            <w:shd w:val="clear" w:color="auto" w:fill="auto"/>
            <w:noWrap/>
            <w:vAlign w:val="center"/>
          </w:tcPr>
          <w:p w14:paraId="435ADB75" w14:textId="77777777" w:rsidR="0025680F" w:rsidRDefault="00D201ED">
            <w:pPr>
              <w:snapToGrid w:val="0"/>
              <w:jc w:val="center"/>
              <w:rPr>
                <w:bCs/>
                <w:sz w:val="15"/>
                <w:szCs w:val="15"/>
              </w:rPr>
            </w:pPr>
            <w:r>
              <w:rPr>
                <w:rFonts w:hint="eastAsia"/>
                <w:bCs/>
                <w:sz w:val="15"/>
                <w:szCs w:val="15"/>
              </w:rPr>
              <w:t>危机级别</w:t>
            </w:r>
          </w:p>
        </w:tc>
        <w:tc>
          <w:tcPr>
            <w:tcW w:w="825" w:type="dxa"/>
            <w:tcBorders>
              <w:top w:val="single" w:sz="4" w:space="0" w:color="auto"/>
              <w:left w:val="nil"/>
              <w:bottom w:val="single" w:sz="4" w:space="0" w:color="auto"/>
              <w:right w:val="nil"/>
            </w:tcBorders>
            <w:shd w:val="clear" w:color="auto" w:fill="auto"/>
            <w:noWrap/>
            <w:vAlign w:val="center"/>
          </w:tcPr>
          <w:p w14:paraId="770A471B" w14:textId="77777777" w:rsidR="0025680F" w:rsidRDefault="00D201ED">
            <w:pPr>
              <w:snapToGrid w:val="0"/>
              <w:jc w:val="center"/>
              <w:rPr>
                <w:bCs/>
                <w:sz w:val="15"/>
                <w:szCs w:val="15"/>
              </w:rPr>
            </w:pPr>
            <w:r>
              <w:rPr>
                <w:rFonts w:hint="eastAsia"/>
                <w:bCs/>
                <w:sz w:val="15"/>
                <w:szCs w:val="15"/>
              </w:rPr>
              <w:t>综合得分</w:t>
            </w:r>
          </w:p>
        </w:tc>
      </w:tr>
      <w:tr w:rsidR="0025680F" w14:paraId="2210C554" w14:textId="77777777">
        <w:trPr>
          <w:jc w:val="center"/>
        </w:trPr>
        <w:tc>
          <w:tcPr>
            <w:tcW w:w="1262" w:type="dxa"/>
            <w:tcBorders>
              <w:top w:val="single" w:sz="4" w:space="0" w:color="auto"/>
              <w:left w:val="nil"/>
              <w:bottom w:val="nil"/>
              <w:right w:val="nil"/>
            </w:tcBorders>
            <w:shd w:val="clear" w:color="auto" w:fill="auto"/>
            <w:noWrap/>
            <w:vAlign w:val="center"/>
          </w:tcPr>
          <w:p w14:paraId="45922E9A" w14:textId="77777777" w:rsidR="0025680F" w:rsidRDefault="00D201ED">
            <w:pPr>
              <w:snapToGrid w:val="0"/>
              <w:jc w:val="center"/>
              <w:rPr>
                <w:bCs/>
                <w:sz w:val="15"/>
                <w:szCs w:val="15"/>
              </w:rPr>
            </w:pPr>
            <w:r>
              <w:rPr>
                <w:rFonts w:hint="eastAsia"/>
                <w:bCs/>
                <w:sz w:val="15"/>
                <w:szCs w:val="15"/>
              </w:rPr>
              <w:t>上海铁路局</w:t>
            </w:r>
          </w:p>
        </w:tc>
        <w:tc>
          <w:tcPr>
            <w:tcW w:w="754" w:type="dxa"/>
            <w:tcBorders>
              <w:top w:val="single" w:sz="4" w:space="0" w:color="auto"/>
              <w:left w:val="nil"/>
              <w:bottom w:val="nil"/>
              <w:right w:val="nil"/>
            </w:tcBorders>
            <w:shd w:val="clear" w:color="auto" w:fill="auto"/>
            <w:noWrap/>
            <w:vAlign w:val="center"/>
          </w:tcPr>
          <w:p w14:paraId="7BCC7E72" w14:textId="77777777" w:rsidR="0025680F" w:rsidRDefault="00D201ED">
            <w:pPr>
              <w:snapToGrid w:val="0"/>
              <w:jc w:val="center"/>
              <w:rPr>
                <w:bCs/>
                <w:sz w:val="15"/>
                <w:szCs w:val="15"/>
              </w:rPr>
            </w:pPr>
            <w:r>
              <w:rPr>
                <w:rFonts w:hint="eastAsia"/>
                <w:bCs/>
                <w:sz w:val="15"/>
                <w:szCs w:val="15"/>
              </w:rPr>
              <w:t>80.00</w:t>
            </w:r>
          </w:p>
        </w:tc>
        <w:tc>
          <w:tcPr>
            <w:tcW w:w="754" w:type="dxa"/>
            <w:tcBorders>
              <w:top w:val="single" w:sz="4" w:space="0" w:color="auto"/>
              <w:left w:val="nil"/>
              <w:bottom w:val="nil"/>
              <w:right w:val="nil"/>
            </w:tcBorders>
            <w:shd w:val="clear" w:color="auto" w:fill="auto"/>
            <w:noWrap/>
            <w:vAlign w:val="center"/>
          </w:tcPr>
          <w:p w14:paraId="0CF757D1" w14:textId="77777777" w:rsidR="0025680F" w:rsidRDefault="00D201ED">
            <w:pPr>
              <w:snapToGrid w:val="0"/>
              <w:jc w:val="center"/>
              <w:rPr>
                <w:bCs/>
                <w:sz w:val="15"/>
                <w:szCs w:val="15"/>
              </w:rPr>
            </w:pPr>
            <w:r>
              <w:rPr>
                <w:rFonts w:hint="eastAsia"/>
                <w:bCs/>
                <w:sz w:val="15"/>
                <w:szCs w:val="15"/>
              </w:rPr>
              <w:t>80.00</w:t>
            </w:r>
          </w:p>
        </w:tc>
        <w:tc>
          <w:tcPr>
            <w:tcW w:w="754" w:type="dxa"/>
            <w:tcBorders>
              <w:top w:val="single" w:sz="4" w:space="0" w:color="auto"/>
              <w:left w:val="nil"/>
              <w:bottom w:val="nil"/>
              <w:right w:val="nil"/>
            </w:tcBorders>
            <w:shd w:val="clear" w:color="auto" w:fill="auto"/>
            <w:noWrap/>
            <w:vAlign w:val="center"/>
          </w:tcPr>
          <w:p w14:paraId="2CC804C5" w14:textId="77777777" w:rsidR="0025680F" w:rsidRDefault="00D201ED">
            <w:pPr>
              <w:snapToGrid w:val="0"/>
              <w:jc w:val="center"/>
              <w:rPr>
                <w:bCs/>
                <w:sz w:val="15"/>
                <w:szCs w:val="15"/>
              </w:rPr>
            </w:pPr>
            <w:r>
              <w:rPr>
                <w:rFonts w:hint="eastAsia"/>
                <w:bCs/>
                <w:sz w:val="15"/>
                <w:szCs w:val="15"/>
              </w:rPr>
              <w:t>70.00</w:t>
            </w:r>
          </w:p>
        </w:tc>
        <w:tc>
          <w:tcPr>
            <w:tcW w:w="874" w:type="dxa"/>
            <w:tcBorders>
              <w:top w:val="single" w:sz="4" w:space="0" w:color="auto"/>
              <w:left w:val="nil"/>
              <w:bottom w:val="nil"/>
              <w:right w:val="nil"/>
            </w:tcBorders>
            <w:shd w:val="clear" w:color="auto" w:fill="auto"/>
            <w:noWrap/>
            <w:vAlign w:val="center"/>
          </w:tcPr>
          <w:p w14:paraId="3E12C759" w14:textId="77777777" w:rsidR="0025680F" w:rsidRDefault="00D201ED">
            <w:pPr>
              <w:snapToGrid w:val="0"/>
              <w:jc w:val="center"/>
              <w:rPr>
                <w:bCs/>
                <w:sz w:val="15"/>
                <w:szCs w:val="15"/>
              </w:rPr>
            </w:pPr>
            <w:r>
              <w:rPr>
                <w:rFonts w:hint="eastAsia"/>
                <w:bCs/>
                <w:sz w:val="15"/>
                <w:szCs w:val="15"/>
              </w:rPr>
              <w:t>30.00</w:t>
            </w:r>
          </w:p>
        </w:tc>
        <w:tc>
          <w:tcPr>
            <w:tcW w:w="874" w:type="dxa"/>
            <w:tcBorders>
              <w:top w:val="single" w:sz="4" w:space="0" w:color="auto"/>
              <w:left w:val="nil"/>
              <w:bottom w:val="nil"/>
              <w:right w:val="nil"/>
            </w:tcBorders>
            <w:shd w:val="clear" w:color="auto" w:fill="auto"/>
            <w:noWrap/>
            <w:vAlign w:val="center"/>
          </w:tcPr>
          <w:p w14:paraId="61F67761" w14:textId="77777777" w:rsidR="0025680F" w:rsidRDefault="00D201ED">
            <w:pPr>
              <w:snapToGrid w:val="0"/>
              <w:jc w:val="center"/>
              <w:rPr>
                <w:bCs/>
                <w:sz w:val="15"/>
                <w:szCs w:val="15"/>
              </w:rPr>
            </w:pPr>
            <w:r>
              <w:rPr>
                <w:rFonts w:hint="eastAsia"/>
                <w:bCs/>
                <w:sz w:val="15"/>
                <w:szCs w:val="15"/>
              </w:rPr>
              <w:t>70.00</w:t>
            </w:r>
          </w:p>
        </w:tc>
        <w:tc>
          <w:tcPr>
            <w:tcW w:w="754" w:type="dxa"/>
            <w:tcBorders>
              <w:top w:val="single" w:sz="4" w:space="0" w:color="auto"/>
              <w:left w:val="nil"/>
              <w:bottom w:val="nil"/>
              <w:right w:val="nil"/>
            </w:tcBorders>
            <w:shd w:val="clear" w:color="auto" w:fill="auto"/>
            <w:noWrap/>
            <w:vAlign w:val="center"/>
          </w:tcPr>
          <w:p w14:paraId="6D136A48" w14:textId="77777777" w:rsidR="0025680F" w:rsidRDefault="00D201ED">
            <w:pPr>
              <w:snapToGrid w:val="0"/>
              <w:jc w:val="center"/>
              <w:rPr>
                <w:bCs/>
                <w:sz w:val="15"/>
                <w:szCs w:val="15"/>
              </w:rPr>
            </w:pPr>
            <w:r>
              <w:rPr>
                <w:rFonts w:hint="eastAsia"/>
                <w:bCs/>
                <w:sz w:val="15"/>
                <w:szCs w:val="15"/>
              </w:rPr>
              <w:t>30.00</w:t>
            </w:r>
          </w:p>
        </w:tc>
        <w:tc>
          <w:tcPr>
            <w:tcW w:w="754" w:type="dxa"/>
            <w:tcBorders>
              <w:top w:val="single" w:sz="4" w:space="0" w:color="auto"/>
              <w:left w:val="nil"/>
              <w:bottom w:val="nil"/>
              <w:right w:val="nil"/>
            </w:tcBorders>
            <w:shd w:val="clear" w:color="auto" w:fill="auto"/>
            <w:noWrap/>
            <w:vAlign w:val="center"/>
          </w:tcPr>
          <w:p w14:paraId="1860795F" w14:textId="77777777" w:rsidR="0025680F" w:rsidRDefault="00D201ED">
            <w:pPr>
              <w:snapToGrid w:val="0"/>
              <w:jc w:val="center"/>
              <w:rPr>
                <w:bCs/>
                <w:sz w:val="15"/>
                <w:szCs w:val="15"/>
              </w:rPr>
            </w:pPr>
            <w:r>
              <w:rPr>
                <w:rFonts w:hint="eastAsia"/>
                <w:bCs/>
                <w:sz w:val="15"/>
                <w:szCs w:val="15"/>
              </w:rPr>
              <w:t>20.00</w:t>
            </w:r>
          </w:p>
        </w:tc>
        <w:tc>
          <w:tcPr>
            <w:tcW w:w="874" w:type="dxa"/>
            <w:tcBorders>
              <w:top w:val="single" w:sz="4" w:space="0" w:color="auto"/>
              <w:left w:val="nil"/>
              <w:bottom w:val="nil"/>
              <w:right w:val="nil"/>
            </w:tcBorders>
            <w:shd w:val="clear" w:color="auto" w:fill="auto"/>
            <w:noWrap/>
            <w:vAlign w:val="center"/>
          </w:tcPr>
          <w:p w14:paraId="4E6236E8" w14:textId="77777777" w:rsidR="0025680F" w:rsidRDefault="00D201ED">
            <w:pPr>
              <w:snapToGrid w:val="0"/>
              <w:jc w:val="center"/>
              <w:rPr>
                <w:bCs/>
                <w:sz w:val="15"/>
                <w:szCs w:val="15"/>
              </w:rPr>
            </w:pPr>
            <w:r>
              <w:rPr>
                <w:rFonts w:hint="eastAsia"/>
                <w:bCs/>
                <w:sz w:val="15"/>
                <w:szCs w:val="15"/>
              </w:rPr>
              <w:t>20.00</w:t>
            </w:r>
          </w:p>
        </w:tc>
        <w:tc>
          <w:tcPr>
            <w:tcW w:w="754" w:type="dxa"/>
            <w:tcBorders>
              <w:top w:val="single" w:sz="4" w:space="0" w:color="auto"/>
              <w:left w:val="nil"/>
              <w:bottom w:val="nil"/>
              <w:right w:val="nil"/>
            </w:tcBorders>
            <w:shd w:val="clear" w:color="auto" w:fill="auto"/>
            <w:noWrap/>
            <w:vAlign w:val="center"/>
          </w:tcPr>
          <w:p w14:paraId="7E72E4FD" w14:textId="77777777" w:rsidR="0025680F" w:rsidRDefault="00D201ED">
            <w:pPr>
              <w:snapToGrid w:val="0"/>
              <w:jc w:val="center"/>
              <w:rPr>
                <w:bCs/>
                <w:sz w:val="15"/>
                <w:szCs w:val="15"/>
              </w:rPr>
            </w:pPr>
            <w:r>
              <w:rPr>
                <w:rFonts w:hint="eastAsia"/>
                <w:bCs/>
                <w:sz w:val="15"/>
                <w:szCs w:val="15"/>
              </w:rPr>
              <w:t>40.00</w:t>
            </w:r>
          </w:p>
        </w:tc>
        <w:tc>
          <w:tcPr>
            <w:tcW w:w="754" w:type="dxa"/>
            <w:tcBorders>
              <w:top w:val="single" w:sz="4" w:space="0" w:color="auto"/>
              <w:left w:val="nil"/>
              <w:bottom w:val="nil"/>
              <w:right w:val="nil"/>
            </w:tcBorders>
            <w:shd w:val="clear" w:color="auto" w:fill="auto"/>
            <w:noWrap/>
            <w:vAlign w:val="center"/>
          </w:tcPr>
          <w:p w14:paraId="55BDD005" w14:textId="77777777" w:rsidR="0025680F" w:rsidRDefault="00D201ED">
            <w:pPr>
              <w:snapToGrid w:val="0"/>
              <w:jc w:val="center"/>
              <w:rPr>
                <w:bCs/>
                <w:sz w:val="15"/>
                <w:szCs w:val="15"/>
              </w:rPr>
            </w:pPr>
            <w:r>
              <w:rPr>
                <w:rFonts w:hint="eastAsia"/>
                <w:bCs/>
                <w:sz w:val="15"/>
                <w:szCs w:val="15"/>
              </w:rPr>
              <w:t>7.00</w:t>
            </w:r>
          </w:p>
        </w:tc>
        <w:tc>
          <w:tcPr>
            <w:tcW w:w="748" w:type="dxa"/>
            <w:tcBorders>
              <w:top w:val="single" w:sz="4" w:space="0" w:color="auto"/>
              <w:left w:val="nil"/>
              <w:bottom w:val="nil"/>
              <w:right w:val="nil"/>
            </w:tcBorders>
            <w:shd w:val="clear" w:color="auto" w:fill="auto"/>
            <w:noWrap/>
            <w:vAlign w:val="center"/>
          </w:tcPr>
          <w:p w14:paraId="220F4523" w14:textId="77777777" w:rsidR="0025680F" w:rsidRDefault="00D201ED">
            <w:pPr>
              <w:snapToGrid w:val="0"/>
              <w:jc w:val="center"/>
              <w:rPr>
                <w:bCs/>
                <w:sz w:val="15"/>
                <w:szCs w:val="15"/>
              </w:rPr>
            </w:pPr>
            <w:r>
              <w:rPr>
                <w:rFonts w:hint="eastAsia"/>
                <w:bCs/>
                <w:sz w:val="15"/>
                <w:szCs w:val="15"/>
              </w:rPr>
              <w:t>0.80</w:t>
            </w:r>
          </w:p>
        </w:tc>
        <w:tc>
          <w:tcPr>
            <w:tcW w:w="825" w:type="dxa"/>
            <w:tcBorders>
              <w:top w:val="single" w:sz="4" w:space="0" w:color="auto"/>
              <w:left w:val="nil"/>
              <w:bottom w:val="nil"/>
              <w:right w:val="nil"/>
            </w:tcBorders>
            <w:shd w:val="clear" w:color="auto" w:fill="auto"/>
            <w:noWrap/>
            <w:vAlign w:val="center"/>
          </w:tcPr>
          <w:p w14:paraId="6660CB9C" w14:textId="77777777" w:rsidR="0025680F" w:rsidRDefault="00D201ED">
            <w:pPr>
              <w:snapToGrid w:val="0"/>
              <w:jc w:val="center"/>
              <w:rPr>
                <w:bCs/>
                <w:sz w:val="15"/>
                <w:szCs w:val="15"/>
              </w:rPr>
            </w:pPr>
            <w:r>
              <w:rPr>
                <w:rFonts w:hint="eastAsia"/>
                <w:bCs/>
                <w:sz w:val="15"/>
                <w:szCs w:val="15"/>
              </w:rPr>
              <w:t>49.60</w:t>
            </w:r>
          </w:p>
        </w:tc>
      </w:tr>
      <w:tr w:rsidR="0025680F" w14:paraId="6EF07810" w14:textId="77777777">
        <w:trPr>
          <w:jc w:val="center"/>
        </w:trPr>
        <w:tc>
          <w:tcPr>
            <w:tcW w:w="1262" w:type="dxa"/>
            <w:tcBorders>
              <w:top w:val="nil"/>
              <w:left w:val="nil"/>
              <w:bottom w:val="nil"/>
              <w:right w:val="nil"/>
            </w:tcBorders>
            <w:shd w:val="clear" w:color="auto" w:fill="auto"/>
            <w:noWrap/>
            <w:vAlign w:val="center"/>
          </w:tcPr>
          <w:p w14:paraId="4D8BC720" w14:textId="77777777" w:rsidR="0025680F" w:rsidRDefault="00D201ED">
            <w:pPr>
              <w:snapToGrid w:val="0"/>
              <w:jc w:val="center"/>
              <w:rPr>
                <w:bCs/>
                <w:sz w:val="15"/>
                <w:szCs w:val="15"/>
              </w:rPr>
            </w:pPr>
            <w:r>
              <w:rPr>
                <w:rFonts w:hint="eastAsia"/>
                <w:bCs/>
                <w:sz w:val="15"/>
                <w:szCs w:val="15"/>
              </w:rPr>
              <w:t>广州铁路局</w:t>
            </w:r>
          </w:p>
        </w:tc>
        <w:tc>
          <w:tcPr>
            <w:tcW w:w="754" w:type="dxa"/>
            <w:tcBorders>
              <w:top w:val="nil"/>
              <w:left w:val="nil"/>
              <w:bottom w:val="nil"/>
              <w:right w:val="nil"/>
            </w:tcBorders>
            <w:shd w:val="clear" w:color="auto" w:fill="auto"/>
            <w:noWrap/>
            <w:vAlign w:val="center"/>
          </w:tcPr>
          <w:p w14:paraId="763A1CE3" w14:textId="77777777" w:rsidR="0025680F" w:rsidRDefault="00D201ED">
            <w:pPr>
              <w:snapToGrid w:val="0"/>
              <w:jc w:val="center"/>
              <w:rPr>
                <w:bCs/>
                <w:sz w:val="15"/>
                <w:szCs w:val="15"/>
              </w:rPr>
            </w:pPr>
            <w:r>
              <w:rPr>
                <w:rFonts w:hint="eastAsia"/>
                <w:bCs/>
                <w:sz w:val="15"/>
                <w:szCs w:val="15"/>
              </w:rPr>
              <w:t>80.00</w:t>
            </w:r>
          </w:p>
        </w:tc>
        <w:tc>
          <w:tcPr>
            <w:tcW w:w="754" w:type="dxa"/>
            <w:tcBorders>
              <w:top w:val="nil"/>
              <w:left w:val="nil"/>
              <w:bottom w:val="nil"/>
              <w:right w:val="nil"/>
            </w:tcBorders>
            <w:shd w:val="clear" w:color="auto" w:fill="auto"/>
            <w:noWrap/>
            <w:vAlign w:val="center"/>
          </w:tcPr>
          <w:p w14:paraId="44E56A55" w14:textId="77777777" w:rsidR="0025680F" w:rsidRDefault="00D201ED">
            <w:pPr>
              <w:snapToGrid w:val="0"/>
              <w:jc w:val="center"/>
              <w:rPr>
                <w:bCs/>
                <w:sz w:val="15"/>
                <w:szCs w:val="15"/>
              </w:rPr>
            </w:pPr>
            <w:r>
              <w:rPr>
                <w:rFonts w:hint="eastAsia"/>
                <w:bCs/>
                <w:sz w:val="15"/>
                <w:szCs w:val="15"/>
              </w:rPr>
              <w:t>60.00</w:t>
            </w:r>
          </w:p>
        </w:tc>
        <w:tc>
          <w:tcPr>
            <w:tcW w:w="754" w:type="dxa"/>
            <w:tcBorders>
              <w:top w:val="nil"/>
              <w:left w:val="nil"/>
              <w:bottom w:val="nil"/>
              <w:right w:val="nil"/>
            </w:tcBorders>
            <w:shd w:val="clear" w:color="auto" w:fill="auto"/>
            <w:noWrap/>
            <w:vAlign w:val="center"/>
          </w:tcPr>
          <w:p w14:paraId="050FE16C" w14:textId="77777777" w:rsidR="0025680F" w:rsidRDefault="00D201ED">
            <w:pPr>
              <w:snapToGrid w:val="0"/>
              <w:jc w:val="center"/>
              <w:rPr>
                <w:bCs/>
                <w:sz w:val="15"/>
                <w:szCs w:val="15"/>
              </w:rPr>
            </w:pPr>
            <w:r>
              <w:rPr>
                <w:rFonts w:hint="eastAsia"/>
                <w:bCs/>
                <w:sz w:val="15"/>
                <w:szCs w:val="15"/>
              </w:rPr>
              <w:t>60.00</w:t>
            </w:r>
          </w:p>
        </w:tc>
        <w:tc>
          <w:tcPr>
            <w:tcW w:w="874" w:type="dxa"/>
            <w:tcBorders>
              <w:top w:val="nil"/>
              <w:left w:val="nil"/>
              <w:bottom w:val="nil"/>
              <w:right w:val="nil"/>
            </w:tcBorders>
            <w:shd w:val="clear" w:color="auto" w:fill="auto"/>
            <w:noWrap/>
            <w:vAlign w:val="center"/>
          </w:tcPr>
          <w:p w14:paraId="37185E6C" w14:textId="77777777" w:rsidR="0025680F" w:rsidRDefault="00D201ED">
            <w:pPr>
              <w:snapToGrid w:val="0"/>
              <w:jc w:val="center"/>
              <w:rPr>
                <w:bCs/>
                <w:sz w:val="15"/>
                <w:szCs w:val="15"/>
              </w:rPr>
            </w:pPr>
            <w:r>
              <w:rPr>
                <w:rFonts w:hint="eastAsia"/>
                <w:bCs/>
                <w:sz w:val="15"/>
                <w:szCs w:val="15"/>
              </w:rPr>
              <w:t>20.00</w:t>
            </w:r>
          </w:p>
        </w:tc>
        <w:tc>
          <w:tcPr>
            <w:tcW w:w="874" w:type="dxa"/>
            <w:tcBorders>
              <w:top w:val="nil"/>
              <w:left w:val="nil"/>
              <w:bottom w:val="nil"/>
              <w:right w:val="nil"/>
            </w:tcBorders>
            <w:shd w:val="clear" w:color="auto" w:fill="auto"/>
            <w:noWrap/>
            <w:vAlign w:val="center"/>
          </w:tcPr>
          <w:p w14:paraId="69A407FB" w14:textId="77777777" w:rsidR="0025680F" w:rsidRDefault="00D201ED">
            <w:pPr>
              <w:snapToGrid w:val="0"/>
              <w:jc w:val="center"/>
              <w:rPr>
                <w:bCs/>
                <w:sz w:val="15"/>
                <w:szCs w:val="15"/>
              </w:rPr>
            </w:pPr>
            <w:r>
              <w:rPr>
                <w:rFonts w:hint="eastAsia"/>
                <w:bCs/>
                <w:sz w:val="15"/>
                <w:szCs w:val="15"/>
              </w:rPr>
              <w:t>80.00</w:t>
            </w:r>
          </w:p>
        </w:tc>
        <w:tc>
          <w:tcPr>
            <w:tcW w:w="754" w:type="dxa"/>
            <w:tcBorders>
              <w:top w:val="nil"/>
              <w:left w:val="nil"/>
              <w:bottom w:val="nil"/>
              <w:right w:val="nil"/>
            </w:tcBorders>
            <w:shd w:val="clear" w:color="auto" w:fill="auto"/>
            <w:noWrap/>
            <w:vAlign w:val="center"/>
          </w:tcPr>
          <w:p w14:paraId="21F46BA2" w14:textId="77777777" w:rsidR="0025680F" w:rsidRDefault="00D201ED">
            <w:pPr>
              <w:snapToGrid w:val="0"/>
              <w:jc w:val="center"/>
              <w:rPr>
                <w:bCs/>
                <w:sz w:val="15"/>
                <w:szCs w:val="15"/>
              </w:rPr>
            </w:pPr>
            <w:r>
              <w:rPr>
                <w:rFonts w:hint="eastAsia"/>
                <w:bCs/>
                <w:sz w:val="15"/>
                <w:szCs w:val="15"/>
              </w:rPr>
              <w:t>50.00</w:t>
            </w:r>
          </w:p>
        </w:tc>
        <w:tc>
          <w:tcPr>
            <w:tcW w:w="754" w:type="dxa"/>
            <w:tcBorders>
              <w:top w:val="nil"/>
              <w:left w:val="nil"/>
              <w:bottom w:val="nil"/>
              <w:right w:val="nil"/>
            </w:tcBorders>
            <w:shd w:val="clear" w:color="auto" w:fill="auto"/>
            <w:noWrap/>
            <w:vAlign w:val="center"/>
          </w:tcPr>
          <w:p w14:paraId="730A870C" w14:textId="77777777" w:rsidR="0025680F" w:rsidRDefault="00D201ED">
            <w:pPr>
              <w:snapToGrid w:val="0"/>
              <w:jc w:val="center"/>
              <w:rPr>
                <w:bCs/>
                <w:sz w:val="15"/>
                <w:szCs w:val="15"/>
              </w:rPr>
            </w:pPr>
            <w:r>
              <w:rPr>
                <w:rFonts w:hint="eastAsia"/>
                <w:bCs/>
                <w:sz w:val="15"/>
                <w:szCs w:val="15"/>
              </w:rPr>
              <w:t>40.00</w:t>
            </w:r>
          </w:p>
        </w:tc>
        <w:tc>
          <w:tcPr>
            <w:tcW w:w="874" w:type="dxa"/>
            <w:tcBorders>
              <w:top w:val="nil"/>
              <w:left w:val="nil"/>
              <w:bottom w:val="nil"/>
              <w:right w:val="nil"/>
            </w:tcBorders>
            <w:shd w:val="clear" w:color="auto" w:fill="auto"/>
            <w:noWrap/>
            <w:vAlign w:val="center"/>
          </w:tcPr>
          <w:p w14:paraId="484318D2" w14:textId="77777777" w:rsidR="0025680F" w:rsidRDefault="00D201ED">
            <w:pPr>
              <w:snapToGrid w:val="0"/>
              <w:jc w:val="center"/>
              <w:rPr>
                <w:bCs/>
                <w:sz w:val="15"/>
                <w:szCs w:val="15"/>
              </w:rPr>
            </w:pPr>
            <w:r>
              <w:rPr>
                <w:rFonts w:hint="eastAsia"/>
                <w:bCs/>
                <w:sz w:val="15"/>
                <w:szCs w:val="15"/>
              </w:rPr>
              <w:t>-20.00</w:t>
            </w:r>
          </w:p>
        </w:tc>
        <w:tc>
          <w:tcPr>
            <w:tcW w:w="754" w:type="dxa"/>
            <w:tcBorders>
              <w:top w:val="nil"/>
              <w:left w:val="nil"/>
              <w:bottom w:val="nil"/>
              <w:right w:val="nil"/>
            </w:tcBorders>
            <w:shd w:val="clear" w:color="auto" w:fill="auto"/>
            <w:noWrap/>
            <w:vAlign w:val="center"/>
          </w:tcPr>
          <w:p w14:paraId="218DED6B" w14:textId="77777777" w:rsidR="0025680F" w:rsidRDefault="00D201ED">
            <w:pPr>
              <w:snapToGrid w:val="0"/>
              <w:jc w:val="center"/>
              <w:rPr>
                <w:bCs/>
                <w:sz w:val="15"/>
                <w:szCs w:val="15"/>
              </w:rPr>
            </w:pPr>
            <w:r>
              <w:rPr>
                <w:rFonts w:hint="eastAsia"/>
                <w:bCs/>
                <w:sz w:val="15"/>
                <w:szCs w:val="15"/>
              </w:rPr>
              <w:t>30.00</w:t>
            </w:r>
          </w:p>
        </w:tc>
        <w:tc>
          <w:tcPr>
            <w:tcW w:w="754" w:type="dxa"/>
            <w:tcBorders>
              <w:top w:val="nil"/>
              <w:left w:val="nil"/>
              <w:bottom w:val="nil"/>
              <w:right w:val="nil"/>
            </w:tcBorders>
            <w:shd w:val="clear" w:color="auto" w:fill="auto"/>
            <w:noWrap/>
            <w:vAlign w:val="center"/>
          </w:tcPr>
          <w:p w14:paraId="6E01B72B" w14:textId="77777777" w:rsidR="0025680F" w:rsidRDefault="00D201ED">
            <w:pPr>
              <w:snapToGrid w:val="0"/>
              <w:jc w:val="center"/>
              <w:rPr>
                <w:bCs/>
                <w:sz w:val="15"/>
                <w:szCs w:val="15"/>
              </w:rPr>
            </w:pPr>
            <w:r>
              <w:rPr>
                <w:rFonts w:hint="eastAsia"/>
                <w:bCs/>
                <w:sz w:val="15"/>
                <w:szCs w:val="15"/>
              </w:rPr>
              <w:t>11.00</w:t>
            </w:r>
          </w:p>
        </w:tc>
        <w:tc>
          <w:tcPr>
            <w:tcW w:w="748" w:type="dxa"/>
            <w:tcBorders>
              <w:top w:val="nil"/>
              <w:left w:val="nil"/>
              <w:bottom w:val="nil"/>
              <w:right w:val="nil"/>
            </w:tcBorders>
            <w:shd w:val="clear" w:color="auto" w:fill="auto"/>
            <w:noWrap/>
            <w:vAlign w:val="center"/>
          </w:tcPr>
          <w:p w14:paraId="7D9F6FB9" w14:textId="77777777" w:rsidR="0025680F" w:rsidRDefault="00D201ED">
            <w:pPr>
              <w:snapToGrid w:val="0"/>
              <w:jc w:val="center"/>
              <w:rPr>
                <w:bCs/>
                <w:sz w:val="15"/>
                <w:szCs w:val="15"/>
              </w:rPr>
            </w:pPr>
            <w:r>
              <w:rPr>
                <w:rFonts w:hint="eastAsia"/>
                <w:bCs/>
                <w:sz w:val="15"/>
                <w:szCs w:val="15"/>
              </w:rPr>
              <w:t>0.70</w:t>
            </w:r>
          </w:p>
        </w:tc>
        <w:tc>
          <w:tcPr>
            <w:tcW w:w="825" w:type="dxa"/>
            <w:tcBorders>
              <w:top w:val="nil"/>
              <w:left w:val="nil"/>
              <w:bottom w:val="nil"/>
              <w:right w:val="nil"/>
            </w:tcBorders>
            <w:shd w:val="clear" w:color="auto" w:fill="auto"/>
            <w:noWrap/>
            <w:vAlign w:val="center"/>
          </w:tcPr>
          <w:p w14:paraId="40062FAA" w14:textId="77777777" w:rsidR="0025680F" w:rsidRDefault="00D201ED">
            <w:pPr>
              <w:snapToGrid w:val="0"/>
              <w:jc w:val="center"/>
              <w:rPr>
                <w:bCs/>
                <w:sz w:val="15"/>
                <w:szCs w:val="15"/>
              </w:rPr>
            </w:pPr>
            <w:r>
              <w:rPr>
                <w:rFonts w:hint="eastAsia"/>
                <w:bCs/>
                <w:sz w:val="15"/>
                <w:szCs w:val="15"/>
              </w:rPr>
              <w:t>45.98</w:t>
            </w:r>
          </w:p>
        </w:tc>
      </w:tr>
      <w:tr w:rsidR="0025680F" w14:paraId="643D97C8" w14:textId="77777777">
        <w:trPr>
          <w:jc w:val="center"/>
        </w:trPr>
        <w:tc>
          <w:tcPr>
            <w:tcW w:w="1262" w:type="dxa"/>
            <w:tcBorders>
              <w:top w:val="nil"/>
              <w:left w:val="nil"/>
              <w:bottom w:val="single" w:sz="4" w:space="0" w:color="auto"/>
              <w:right w:val="nil"/>
            </w:tcBorders>
            <w:shd w:val="clear" w:color="auto" w:fill="auto"/>
            <w:noWrap/>
            <w:vAlign w:val="center"/>
          </w:tcPr>
          <w:p w14:paraId="189894E3" w14:textId="77777777" w:rsidR="0025680F" w:rsidRDefault="00D201ED">
            <w:pPr>
              <w:snapToGrid w:val="0"/>
              <w:jc w:val="center"/>
              <w:rPr>
                <w:bCs/>
                <w:sz w:val="15"/>
                <w:szCs w:val="15"/>
              </w:rPr>
            </w:pPr>
            <w:r>
              <w:rPr>
                <w:rFonts w:hint="eastAsia"/>
                <w:bCs/>
                <w:sz w:val="15"/>
                <w:szCs w:val="15"/>
              </w:rPr>
              <w:t>国铁集团</w:t>
            </w:r>
          </w:p>
        </w:tc>
        <w:tc>
          <w:tcPr>
            <w:tcW w:w="754" w:type="dxa"/>
            <w:tcBorders>
              <w:top w:val="nil"/>
              <w:left w:val="nil"/>
              <w:bottom w:val="single" w:sz="4" w:space="0" w:color="auto"/>
              <w:right w:val="nil"/>
            </w:tcBorders>
            <w:shd w:val="clear" w:color="auto" w:fill="auto"/>
            <w:noWrap/>
            <w:vAlign w:val="center"/>
          </w:tcPr>
          <w:p w14:paraId="7629A123" w14:textId="77777777" w:rsidR="0025680F" w:rsidRDefault="00D201ED">
            <w:pPr>
              <w:snapToGrid w:val="0"/>
              <w:jc w:val="center"/>
              <w:rPr>
                <w:bCs/>
                <w:sz w:val="15"/>
                <w:szCs w:val="15"/>
              </w:rPr>
            </w:pPr>
            <w:r>
              <w:rPr>
                <w:rFonts w:hint="eastAsia"/>
                <w:bCs/>
                <w:sz w:val="15"/>
                <w:szCs w:val="15"/>
              </w:rPr>
              <w:t>70.00</w:t>
            </w:r>
          </w:p>
        </w:tc>
        <w:tc>
          <w:tcPr>
            <w:tcW w:w="754" w:type="dxa"/>
            <w:tcBorders>
              <w:top w:val="nil"/>
              <w:left w:val="nil"/>
              <w:bottom w:val="single" w:sz="4" w:space="0" w:color="auto"/>
              <w:right w:val="nil"/>
            </w:tcBorders>
            <w:shd w:val="clear" w:color="auto" w:fill="auto"/>
            <w:noWrap/>
            <w:vAlign w:val="center"/>
          </w:tcPr>
          <w:p w14:paraId="6B21E0D8" w14:textId="77777777" w:rsidR="0025680F" w:rsidRDefault="00D201ED">
            <w:pPr>
              <w:snapToGrid w:val="0"/>
              <w:jc w:val="center"/>
              <w:rPr>
                <w:bCs/>
                <w:sz w:val="15"/>
                <w:szCs w:val="15"/>
              </w:rPr>
            </w:pPr>
            <w:r>
              <w:rPr>
                <w:rFonts w:hint="eastAsia"/>
                <w:bCs/>
                <w:sz w:val="15"/>
                <w:szCs w:val="15"/>
              </w:rPr>
              <w:t>80.00</w:t>
            </w:r>
          </w:p>
        </w:tc>
        <w:tc>
          <w:tcPr>
            <w:tcW w:w="754" w:type="dxa"/>
            <w:tcBorders>
              <w:top w:val="nil"/>
              <w:left w:val="nil"/>
              <w:bottom w:val="single" w:sz="4" w:space="0" w:color="auto"/>
              <w:right w:val="nil"/>
            </w:tcBorders>
            <w:shd w:val="clear" w:color="auto" w:fill="auto"/>
            <w:noWrap/>
            <w:vAlign w:val="center"/>
          </w:tcPr>
          <w:p w14:paraId="76BB613E" w14:textId="77777777" w:rsidR="0025680F" w:rsidRDefault="00D201ED">
            <w:pPr>
              <w:snapToGrid w:val="0"/>
              <w:jc w:val="center"/>
              <w:rPr>
                <w:bCs/>
                <w:sz w:val="15"/>
                <w:szCs w:val="15"/>
              </w:rPr>
            </w:pPr>
            <w:r>
              <w:rPr>
                <w:rFonts w:hint="eastAsia"/>
                <w:bCs/>
                <w:sz w:val="15"/>
                <w:szCs w:val="15"/>
              </w:rPr>
              <w:t>60.00</w:t>
            </w:r>
          </w:p>
        </w:tc>
        <w:tc>
          <w:tcPr>
            <w:tcW w:w="874" w:type="dxa"/>
            <w:tcBorders>
              <w:top w:val="nil"/>
              <w:left w:val="nil"/>
              <w:bottom w:val="single" w:sz="4" w:space="0" w:color="auto"/>
              <w:right w:val="nil"/>
            </w:tcBorders>
            <w:shd w:val="clear" w:color="auto" w:fill="auto"/>
            <w:noWrap/>
            <w:vAlign w:val="center"/>
          </w:tcPr>
          <w:p w14:paraId="4C25078D" w14:textId="77777777" w:rsidR="0025680F" w:rsidRDefault="00D201ED">
            <w:pPr>
              <w:snapToGrid w:val="0"/>
              <w:jc w:val="center"/>
              <w:rPr>
                <w:bCs/>
                <w:sz w:val="15"/>
                <w:szCs w:val="15"/>
              </w:rPr>
            </w:pPr>
            <w:r>
              <w:rPr>
                <w:rFonts w:hint="eastAsia"/>
                <w:bCs/>
                <w:sz w:val="15"/>
                <w:szCs w:val="15"/>
              </w:rPr>
              <w:t>20.00</w:t>
            </w:r>
          </w:p>
        </w:tc>
        <w:tc>
          <w:tcPr>
            <w:tcW w:w="874" w:type="dxa"/>
            <w:tcBorders>
              <w:top w:val="nil"/>
              <w:left w:val="nil"/>
              <w:bottom w:val="single" w:sz="4" w:space="0" w:color="auto"/>
              <w:right w:val="nil"/>
            </w:tcBorders>
            <w:shd w:val="clear" w:color="auto" w:fill="auto"/>
            <w:noWrap/>
            <w:vAlign w:val="center"/>
          </w:tcPr>
          <w:p w14:paraId="12DC35DA" w14:textId="77777777" w:rsidR="0025680F" w:rsidRDefault="00D201ED">
            <w:pPr>
              <w:snapToGrid w:val="0"/>
              <w:jc w:val="center"/>
              <w:rPr>
                <w:bCs/>
                <w:sz w:val="15"/>
                <w:szCs w:val="15"/>
              </w:rPr>
            </w:pPr>
            <w:r>
              <w:rPr>
                <w:rFonts w:hint="eastAsia"/>
                <w:bCs/>
                <w:sz w:val="15"/>
                <w:szCs w:val="15"/>
              </w:rPr>
              <w:t>60.00</w:t>
            </w:r>
          </w:p>
        </w:tc>
        <w:tc>
          <w:tcPr>
            <w:tcW w:w="754" w:type="dxa"/>
            <w:tcBorders>
              <w:top w:val="nil"/>
              <w:left w:val="nil"/>
              <w:bottom w:val="single" w:sz="4" w:space="0" w:color="auto"/>
              <w:right w:val="nil"/>
            </w:tcBorders>
            <w:shd w:val="clear" w:color="auto" w:fill="auto"/>
            <w:noWrap/>
            <w:vAlign w:val="center"/>
          </w:tcPr>
          <w:p w14:paraId="092ED0C9" w14:textId="77777777" w:rsidR="0025680F" w:rsidRDefault="00D201ED">
            <w:pPr>
              <w:snapToGrid w:val="0"/>
              <w:jc w:val="center"/>
              <w:rPr>
                <w:bCs/>
                <w:sz w:val="15"/>
                <w:szCs w:val="15"/>
              </w:rPr>
            </w:pPr>
            <w:r>
              <w:rPr>
                <w:rFonts w:hint="eastAsia"/>
                <w:bCs/>
                <w:sz w:val="15"/>
                <w:szCs w:val="15"/>
              </w:rPr>
              <w:t>30.00</w:t>
            </w:r>
          </w:p>
        </w:tc>
        <w:tc>
          <w:tcPr>
            <w:tcW w:w="754" w:type="dxa"/>
            <w:tcBorders>
              <w:top w:val="nil"/>
              <w:left w:val="nil"/>
              <w:bottom w:val="single" w:sz="4" w:space="0" w:color="auto"/>
              <w:right w:val="nil"/>
            </w:tcBorders>
            <w:shd w:val="clear" w:color="auto" w:fill="auto"/>
            <w:noWrap/>
            <w:vAlign w:val="center"/>
          </w:tcPr>
          <w:p w14:paraId="6043AA0B" w14:textId="77777777" w:rsidR="0025680F" w:rsidRDefault="00D201ED">
            <w:pPr>
              <w:snapToGrid w:val="0"/>
              <w:jc w:val="center"/>
              <w:rPr>
                <w:bCs/>
                <w:sz w:val="15"/>
                <w:szCs w:val="15"/>
              </w:rPr>
            </w:pPr>
            <w:r>
              <w:rPr>
                <w:rFonts w:hint="eastAsia"/>
                <w:bCs/>
                <w:sz w:val="15"/>
                <w:szCs w:val="15"/>
              </w:rPr>
              <w:t>30.00</w:t>
            </w:r>
          </w:p>
        </w:tc>
        <w:tc>
          <w:tcPr>
            <w:tcW w:w="874" w:type="dxa"/>
            <w:tcBorders>
              <w:top w:val="nil"/>
              <w:left w:val="nil"/>
              <w:bottom w:val="single" w:sz="4" w:space="0" w:color="auto"/>
              <w:right w:val="nil"/>
            </w:tcBorders>
            <w:shd w:val="clear" w:color="auto" w:fill="auto"/>
            <w:noWrap/>
            <w:vAlign w:val="center"/>
          </w:tcPr>
          <w:p w14:paraId="14E4E3CD" w14:textId="77777777" w:rsidR="0025680F" w:rsidRDefault="00D201ED">
            <w:pPr>
              <w:snapToGrid w:val="0"/>
              <w:jc w:val="center"/>
              <w:rPr>
                <w:bCs/>
                <w:sz w:val="15"/>
                <w:szCs w:val="15"/>
              </w:rPr>
            </w:pPr>
            <w:r>
              <w:rPr>
                <w:rFonts w:hint="eastAsia"/>
                <w:bCs/>
                <w:sz w:val="15"/>
                <w:szCs w:val="15"/>
              </w:rPr>
              <w:t>-20.00</w:t>
            </w:r>
          </w:p>
        </w:tc>
        <w:tc>
          <w:tcPr>
            <w:tcW w:w="754" w:type="dxa"/>
            <w:tcBorders>
              <w:top w:val="nil"/>
              <w:left w:val="nil"/>
              <w:bottom w:val="single" w:sz="4" w:space="0" w:color="auto"/>
              <w:right w:val="nil"/>
            </w:tcBorders>
            <w:shd w:val="clear" w:color="auto" w:fill="auto"/>
            <w:noWrap/>
            <w:vAlign w:val="center"/>
          </w:tcPr>
          <w:p w14:paraId="452CC935" w14:textId="77777777" w:rsidR="0025680F" w:rsidRDefault="00D201ED">
            <w:pPr>
              <w:snapToGrid w:val="0"/>
              <w:jc w:val="center"/>
              <w:rPr>
                <w:bCs/>
                <w:sz w:val="15"/>
                <w:szCs w:val="15"/>
              </w:rPr>
            </w:pPr>
            <w:r>
              <w:rPr>
                <w:rFonts w:hint="eastAsia"/>
                <w:bCs/>
                <w:sz w:val="15"/>
                <w:szCs w:val="15"/>
              </w:rPr>
              <w:t>50.00</w:t>
            </w:r>
          </w:p>
        </w:tc>
        <w:tc>
          <w:tcPr>
            <w:tcW w:w="754" w:type="dxa"/>
            <w:tcBorders>
              <w:top w:val="nil"/>
              <w:left w:val="nil"/>
              <w:bottom w:val="single" w:sz="4" w:space="0" w:color="auto"/>
              <w:right w:val="nil"/>
            </w:tcBorders>
            <w:shd w:val="clear" w:color="auto" w:fill="auto"/>
            <w:noWrap/>
            <w:vAlign w:val="center"/>
          </w:tcPr>
          <w:p w14:paraId="7488ADFA" w14:textId="77777777" w:rsidR="0025680F" w:rsidRDefault="00D201ED">
            <w:pPr>
              <w:snapToGrid w:val="0"/>
              <w:jc w:val="center"/>
              <w:rPr>
                <w:bCs/>
                <w:sz w:val="15"/>
                <w:szCs w:val="15"/>
              </w:rPr>
            </w:pPr>
            <w:r>
              <w:rPr>
                <w:rFonts w:hint="eastAsia"/>
                <w:bCs/>
                <w:sz w:val="15"/>
                <w:szCs w:val="15"/>
              </w:rPr>
              <w:t>4.00</w:t>
            </w:r>
          </w:p>
        </w:tc>
        <w:tc>
          <w:tcPr>
            <w:tcW w:w="748" w:type="dxa"/>
            <w:tcBorders>
              <w:top w:val="nil"/>
              <w:left w:val="nil"/>
              <w:bottom w:val="single" w:sz="4" w:space="0" w:color="auto"/>
              <w:right w:val="nil"/>
            </w:tcBorders>
            <w:shd w:val="clear" w:color="auto" w:fill="auto"/>
            <w:noWrap/>
            <w:vAlign w:val="center"/>
          </w:tcPr>
          <w:p w14:paraId="75BFBA24" w14:textId="77777777" w:rsidR="0025680F" w:rsidRDefault="00D201ED">
            <w:pPr>
              <w:snapToGrid w:val="0"/>
              <w:jc w:val="center"/>
              <w:rPr>
                <w:bCs/>
                <w:sz w:val="15"/>
                <w:szCs w:val="15"/>
              </w:rPr>
            </w:pPr>
            <w:r>
              <w:rPr>
                <w:rFonts w:hint="eastAsia"/>
                <w:bCs/>
                <w:sz w:val="15"/>
                <w:szCs w:val="15"/>
              </w:rPr>
              <w:t>0.90</w:t>
            </w:r>
          </w:p>
        </w:tc>
        <w:tc>
          <w:tcPr>
            <w:tcW w:w="825" w:type="dxa"/>
            <w:tcBorders>
              <w:top w:val="nil"/>
              <w:left w:val="nil"/>
              <w:bottom w:val="single" w:sz="4" w:space="0" w:color="auto"/>
              <w:right w:val="nil"/>
            </w:tcBorders>
            <w:shd w:val="clear" w:color="auto" w:fill="auto"/>
            <w:noWrap/>
            <w:vAlign w:val="center"/>
          </w:tcPr>
          <w:p w14:paraId="3A46A868" w14:textId="77777777" w:rsidR="0025680F" w:rsidRDefault="00D201ED">
            <w:pPr>
              <w:snapToGrid w:val="0"/>
              <w:jc w:val="center"/>
              <w:rPr>
                <w:bCs/>
                <w:sz w:val="15"/>
                <w:szCs w:val="15"/>
              </w:rPr>
            </w:pPr>
            <w:r>
              <w:rPr>
                <w:rFonts w:hint="eastAsia"/>
                <w:bCs/>
                <w:sz w:val="15"/>
                <w:szCs w:val="15"/>
              </w:rPr>
              <w:t>38.90</w:t>
            </w:r>
          </w:p>
        </w:tc>
      </w:tr>
      <w:tr w:rsidR="0025680F" w14:paraId="64E89124" w14:textId="77777777">
        <w:trPr>
          <w:jc w:val="center"/>
        </w:trPr>
        <w:tc>
          <w:tcPr>
            <w:tcW w:w="1262" w:type="dxa"/>
            <w:tcBorders>
              <w:top w:val="single" w:sz="4" w:space="0" w:color="auto"/>
              <w:left w:val="nil"/>
              <w:bottom w:val="nil"/>
              <w:right w:val="nil"/>
            </w:tcBorders>
            <w:shd w:val="clear" w:color="auto" w:fill="auto"/>
            <w:noWrap/>
            <w:vAlign w:val="center"/>
          </w:tcPr>
          <w:p w14:paraId="7B2BF98A" w14:textId="77777777" w:rsidR="0025680F" w:rsidRDefault="00D201ED">
            <w:pPr>
              <w:snapToGrid w:val="0"/>
              <w:jc w:val="center"/>
              <w:rPr>
                <w:bCs/>
                <w:sz w:val="15"/>
                <w:szCs w:val="15"/>
              </w:rPr>
            </w:pPr>
            <w:r>
              <w:rPr>
                <w:rFonts w:hint="eastAsia"/>
                <w:bCs/>
                <w:sz w:val="15"/>
                <w:szCs w:val="15"/>
              </w:rPr>
              <w:lastRenderedPageBreak/>
              <w:t>南宁铁路局</w:t>
            </w:r>
          </w:p>
        </w:tc>
        <w:tc>
          <w:tcPr>
            <w:tcW w:w="754" w:type="dxa"/>
            <w:tcBorders>
              <w:top w:val="single" w:sz="4" w:space="0" w:color="auto"/>
              <w:left w:val="nil"/>
              <w:bottom w:val="nil"/>
              <w:right w:val="nil"/>
            </w:tcBorders>
            <w:shd w:val="clear" w:color="auto" w:fill="auto"/>
            <w:noWrap/>
            <w:vAlign w:val="center"/>
          </w:tcPr>
          <w:p w14:paraId="27D448F6" w14:textId="77777777" w:rsidR="0025680F" w:rsidRDefault="00D201ED">
            <w:pPr>
              <w:snapToGrid w:val="0"/>
              <w:jc w:val="center"/>
              <w:rPr>
                <w:bCs/>
                <w:sz w:val="15"/>
                <w:szCs w:val="15"/>
              </w:rPr>
            </w:pPr>
            <w:r>
              <w:rPr>
                <w:rFonts w:hint="eastAsia"/>
                <w:bCs/>
                <w:sz w:val="15"/>
                <w:szCs w:val="15"/>
              </w:rPr>
              <w:t>30.00</w:t>
            </w:r>
          </w:p>
        </w:tc>
        <w:tc>
          <w:tcPr>
            <w:tcW w:w="754" w:type="dxa"/>
            <w:tcBorders>
              <w:top w:val="single" w:sz="4" w:space="0" w:color="auto"/>
              <w:left w:val="nil"/>
              <w:bottom w:val="nil"/>
              <w:right w:val="nil"/>
            </w:tcBorders>
            <w:shd w:val="clear" w:color="auto" w:fill="auto"/>
            <w:noWrap/>
            <w:vAlign w:val="center"/>
          </w:tcPr>
          <w:p w14:paraId="68A43281" w14:textId="77777777" w:rsidR="0025680F" w:rsidRDefault="00D201ED">
            <w:pPr>
              <w:snapToGrid w:val="0"/>
              <w:jc w:val="center"/>
              <w:rPr>
                <w:bCs/>
                <w:sz w:val="15"/>
                <w:szCs w:val="15"/>
              </w:rPr>
            </w:pPr>
            <w:r>
              <w:rPr>
                <w:rFonts w:hint="eastAsia"/>
                <w:bCs/>
                <w:sz w:val="15"/>
                <w:szCs w:val="15"/>
              </w:rPr>
              <w:t>30.00</w:t>
            </w:r>
          </w:p>
        </w:tc>
        <w:tc>
          <w:tcPr>
            <w:tcW w:w="754" w:type="dxa"/>
            <w:tcBorders>
              <w:top w:val="single" w:sz="4" w:space="0" w:color="auto"/>
              <w:left w:val="nil"/>
              <w:bottom w:val="nil"/>
              <w:right w:val="nil"/>
            </w:tcBorders>
            <w:shd w:val="clear" w:color="auto" w:fill="auto"/>
            <w:noWrap/>
            <w:vAlign w:val="center"/>
          </w:tcPr>
          <w:p w14:paraId="687D9DCB" w14:textId="77777777" w:rsidR="0025680F" w:rsidRDefault="00D201ED">
            <w:pPr>
              <w:snapToGrid w:val="0"/>
              <w:jc w:val="center"/>
              <w:rPr>
                <w:bCs/>
                <w:sz w:val="15"/>
                <w:szCs w:val="15"/>
              </w:rPr>
            </w:pPr>
            <w:r>
              <w:rPr>
                <w:rFonts w:hint="eastAsia"/>
                <w:bCs/>
                <w:sz w:val="15"/>
                <w:szCs w:val="15"/>
              </w:rPr>
              <w:t>30.00</w:t>
            </w:r>
          </w:p>
        </w:tc>
        <w:tc>
          <w:tcPr>
            <w:tcW w:w="874" w:type="dxa"/>
            <w:tcBorders>
              <w:top w:val="single" w:sz="4" w:space="0" w:color="auto"/>
              <w:left w:val="nil"/>
              <w:bottom w:val="nil"/>
              <w:right w:val="nil"/>
            </w:tcBorders>
            <w:shd w:val="clear" w:color="auto" w:fill="auto"/>
            <w:noWrap/>
            <w:vAlign w:val="center"/>
          </w:tcPr>
          <w:p w14:paraId="501DDE1E" w14:textId="77777777" w:rsidR="0025680F" w:rsidRDefault="00D201ED">
            <w:pPr>
              <w:snapToGrid w:val="0"/>
              <w:jc w:val="center"/>
              <w:rPr>
                <w:bCs/>
                <w:sz w:val="15"/>
                <w:szCs w:val="15"/>
              </w:rPr>
            </w:pPr>
            <w:r>
              <w:rPr>
                <w:rFonts w:hint="eastAsia"/>
                <w:bCs/>
                <w:sz w:val="15"/>
                <w:szCs w:val="15"/>
              </w:rPr>
              <w:t>20.00</w:t>
            </w:r>
          </w:p>
        </w:tc>
        <w:tc>
          <w:tcPr>
            <w:tcW w:w="874" w:type="dxa"/>
            <w:tcBorders>
              <w:top w:val="single" w:sz="4" w:space="0" w:color="auto"/>
              <w:left w:val="nil"/>
              <w:bottom w:val="nil"/>
              <w:right w:val="nil"/>
            </w:tcBorders>
            <w:shd w:val="clear" w:color="auto" w:fill="auto"/>
            <w:noWrap/>
            <w:vAlign w:val="center"/>
          </w:tcPr>
          <w:p w14:paraId="0DA2DD7F" w14:textId="77777777" w:rsidR="0025680F" w:rsidRDefault="00D201ED">
            <w:pPr>
              <w:snapToGrid w:val="0"/>
              <w:jc w:val="center"/>
              <w:rPr>
                <w:bCs/>
                <w:sz w:val="15"/>
                <w:szCs w:val="15"/>
              </w:rPr>
            </w:pPr>
            <w:r>
              <w:rPr>
                <w:rFonts w:hint="eastAsia"/>
                <w:bCs/>
                <w:sz w:val="15"/>
                <w:szCs w:val="15"/>
              </w:rPr>
              <w:t>100.00</w:t>
            </w:r>
          </w:p>
        </w:tc>
        <w:tc>
          <w:tcPr>
            <w:tcW w:w="754" w:type="dxa"/>
            <w:tcBorders>
              <w:top w:val="single" w:sz="4" w:space="0" w:color="auto"/>
              <w:left w:val="nil"/>
              <w:bottom w:val="nil"/>
              <w:right w:val="nil"/>
            </w:tcBorders>
            <w:shd w:val="clear" w:color="auto" w:fill="auto"/>
            <w:noWrap/>
            <w:vAlign w:val="center"/>
          </w:tcPr>
          <w:p w14:paraId="78F3F018" w14:textId="77777777" w:rsidR="0025680F" w:rsidRDefault="00D201ED">
            <w:pPr>
              <w:snapToGrid w:val="0"/>
              <w:jc w:val="center"/>
              <w:rPr>
                <w:bCs/>
                <w:sz w:val="15"/>
                <w:szCs w:val="15"/>
              </w:rPr>
            </w:pPr>
            <w:r>
              <w:rPr>
                <w:rFonts w:hint="eastAsia"/>
                <w:bCs/>
                <w:sz w:val="15"/>
                <w:szCs w:val="15"/>
              </w:rPr>
              <w:t>80.00</w:t>
            </w:r>
          </w:p>
        </w:tc>
        <w:tc>
          <w:tcPr>
            <w:tcW w:w="754" w:type="dxa"/>
            <w:tcBorders>
              <w:top w:val="single" w:sz="4" w:space="0" w:color="auto"/>
              <w:left w:val="nil"/>
              <w:bottom w:val="nil"/>
              <w:right w:val="nil"/>
            </w:tcBorders>
            <w:shd w:val="clear" w:color="auto" w:fill="auto"/>
            <w:noWrap/>
            <w:vAlign w:val="center"/>
          </w:tcPr>
          <w:p w14:paraId="5835F804" w14:textId="77777777" w:rsidR="0025680F" w:rsidRDefault="00D201ED">
            <w:pPr>
              <w:snapToGrid w:val="0"/>
              <w:jc w:val="center"/>
              <w:rPr>
                <w:bCs/>
                <w:sz w:val="15"/>
                <w:szCs w:val="15"/>
              </w:rPr>
            </w:pPr>
            <w:r>
              <w:rPr>
                <w:rFonts w:hint="eastAsia"/>
                <w:bCs/>
                <w:sz w:val="15"/>
                <w:szCs w:val="15"/>
              </w:rPr>
              <w:t>60.00</w:t>
            </w:r>
          </w:p>
        </w:tc>
        <w:tc>
          <w:tcPr>
            <w:tcW w:w="874" w:type="dxa"/>
            <w:tcBorders>
              <w:top w:val="single" w:sz="4" w:space="0" w:color="auto"/>
              <w:left w:val="nil"/>
              <w:bottom w:val="nil"/>
              <w:right w:val="nil"/>
            </w:tcBorders>
            <w:shd w:val="clear" w:color="auto" w:fill="auto"/>
            <w:noWrap/>
            <w:vAlign w:val="center"/>
          </w:tcPr>
          <w:p w14:paraId="152E1E3F" w14:textId="77777777" w:rsidR="0025680F" w:rsidRDefault="00D201ED">
            <w:pPr>
              <w:snapToGrid w:val="0"/>
              <w:jc w:val="center"/>
              <w:rPr>
                <w:bCs/>
                <w:sz w:val="15"/>
                <w:szCs w:val="15"/>
              </w:rPr>
            </w:pPr>
            <w:r>
              <w:rPr>
                <w:rFonts w:hint="eastAsia"/>
                <w:bCs/>
                <w:sz w:val="15"/>
                <w:szCs w:val="15"/>
              </w:rPr>
              <w:t>40.00</w:t>
            </w:r>
          </w:p>
        </w:tc>
        <w:tc>
          <w:tcPr>
            <w:tcW w:w="754" w:type="dxa"/>
            <w:tcBorders>
              <w:top w:val="single" w:sz="4" w:space="0" w:color="auto"/>
              <w:left w:val="nil"/>
              <w:bottom w:val="nil"/>
              <w:right w:val="nil"/>
            </w:tcBorders>
            <w:shd w:val="clear" w:color="auto" w:fill="auto"/>
            <w:noWrap/>
            <w:vAlign w:val="center"/>
          </w:tcPr>
          <w:p w14:paraId="2324E01D" w14:textId="77777777" w:rsidR="0025680F" w:rsidRDefault="00D201ED">
            <w:pPr>
              <w:snapToGrid w:val="0"/>
              <w:jc w:val="center"/>
              <w:rPr>
                <w:bCs/>
                <w:sz w:val="15"/>
                <w:szCs w:val="15"/>
              </w:rPr>
            </w:pPr>
            <w:r>
              <w:rPr>
                <w:rFonts w:hint="eastAsia"/>
                <w:bCs/>
                <w:sz w:val="15"/>
                <w:szCs w:val="15"/>
              </w:rPr>
              <w:t>20.00</w:t>
            </w:r>
          </w:p>
        </w:tc>
        <w:tc>
          <w:tcPr>
            <w:tcW w:w="754" w:type="dxa"/>
            <w:tcBorders>
              <w:top w:val="single" w:sz="4" w:space="0" w:color="auto"/>
              <w:left w:val="nil"/>
              <w:bottom w:val="nil"/>
              <w:right w:val="nil"/>
            </w:tcBorders>
            <w:shd w:val="clear" w:color="auto" w:fill="auto"/>
            <w:noWrap/>
            <w:vAlign w:val="center"/>
          </w:tcPr>
          <w:p w14:paraId="731B278E" w14:textId="77777777" w:rsidR="0025680F" w:rsidRDefault="00D201ED">
            <w:pPr>
              <w:snapToGrid w:val="0"/>
              <w:jc w:val="center"/>
              <w:rPr>
                <w:bCs/>
                <w:sz w:val="15"/>
                <w:szCs w:val="15"/>
              </w:rPr>
            </w:pPr>
            <w:r>
              <w:rPr>
                <w:rFonts w:hint="eastAsia"/>
                <w:bCs/>
                <w:sz w:val="15"/>
                <w:szCs w:val="15"/>
              </w:rPr>
              <w:t>4.00</w:t>
            </w:r>
          </w:p>
        </w:tc>
        <w:tc>
          <w:tcPr>
            <w:tcW w:w="748" w:type="dxa"/>
            <w:tcBorders>
              <w:top w:val="single" w:sz="4" w:space="0" w:color="auto"/>
              <w:left w:val="nil"/>
              <w:bottom w:val="nil"/>
              <w:right w:val="nil"/>
            </w:tcBorders>
            <w:shd w:val="clear" w:color="auto" w:fill="auto"/>
            <w:noWrap/>
            <w:vAlign w:val="center"/>
          </w:tcPr>
          <w:p w14:paraId="5399248F" w14:textId="77777777" w:rsidR="0025680F" w:rsidRDefault="00D201ED">
            <w:pPr>
              <w:snapToGrid w:val="0"/>
              <w:jc w:val="center"/>
              <w:rPr>
                <w:bCs/>
                <w:sz w:val="15"/>
                <w:szCs w:val="15"/>
              </w:rPr>
            </w:pPr>
            <w:r>
              <w:rPr>
                <w:rFonts w:hint="eastAsia"/>
                <w:bCs/>
                <w:sz w:val="15"/>
                <w:szCs w:val="15"/>
              </w:rPr>
              <w:t>0.50</w:t>
            </w:r>
          </w:p>
        </w:tc>
        <w:tc>
          <w:tcPr>
            <w:tcW w:w="825" w:type="dxa"/>
            <w:tcBorders>
              <w:top w:val="single" w:sz="4" w:space="0" w:color="auto"/>
              <w:left w:val="nil"/>
              <w:bottom w:val="nil"/>
              <w:right w:val="nil"/>
            </w:tcBorders>
            <w:shd w:val="clear" w:color="auto" w:fill="auto"/>
            <w:noWrap/>
            <w:vAlign w:val="center"/>
          </w:tcPr>
          <w:p w14:paraId="3E9A48AE" w14:textId="77777777" w:rsidR="0025680F" w:rsidRDefault="00D201ED">
            <w:pPr>
              <w:snapToGrid w:val="0"/>
              <w:jc w:val="center"/>
              <w:rPr>
                <w:bCs/>
                <w:sz w:val="15"/>
                <w:szCs w:val="15"/>
              </w:rPr>
            </w:pPr>
            <w:r>
              <w:rPr>
                <w:rFonts w:hint="eastAsia"/>
                <w:bCs/>
                <w:sz w:val="15"/>
                <w:szCs w:val="15"/>
              </w:rPr>
              <w:t>37.60</w:t>
            </w:r>
          </w:p>
        </w:tc>
      </w:tr>
      <w:tr w:rsidR="0025680F" w14:paraId="0823CFA5" w14:textId="77777777">
        <w:trPr>
          <w:jc w:val="center"/>
        </w:trPr>
        <w:tc>
          <w:tcPr>
            <w:tcW w:w="1262" w:type="dxa"/>
            <w:tcBorders>
              <w:top w:val="nil"/>
              <w:left w:val="nil"/>
              <w:bottom w:val="nil"/>
              <w:right w:val="nil"/>
            </w:tcBorders>
            <w:shd w:val="clear" w:color="auto" w:fill="auto"/>
            <w:noWrap/>
            <w:vAlign w:val="center"/>
          </w:tcPr>
          <w:p w14:paraId="321CC0E8" w14:textId="77777777" w:rsidR="0025680F" w:rsidRDefault="00D201ED">
            <w:pPr>
              <w:snapToGrid w:val="0"/>
              <w:jc w:val="center"/>
              <w:rPr>
                <w:bCs/>
                <w:sz w:val="15"/>
                <w:szCs w:val="15"/>
              </w:rPr>
            </w:pPr>
            <w:r>
              <w:rPr>
                <w:rFonts w:hint="eastAsia"/>
                <w:bCs/>
                <w:sz w:val="15"/>
                <w:szCs w:val="15"/>
              </w:rPr>
              <w:t>南昌铁路局</w:t>
            </w:r>
          </w:p>
        </w:tc>
        <w:tc>
          <w:tcPr>
            <w:tcW w:w="754" w:type="dxa"/>
            <w:tcBorders>
              <w:top w:val="nil"/>
              <w:left w:val="nil"/>
              <w:bottom w:val="nil"/>
              <w:right w:val="nil"/>
            </w:tcBorders>
            <w:shd w:val="clear" w:color="auto" w:fill="auto"/>
            <w:noWrap/>
            <w:vAlign w:val="center"/>
          </w:tcPr>
          <w:p w14:paraId="78EF0251" w14:textId="77777777" w:rsidR="0025680F" w:rsidRDefault="00D201ED">
            <w:pPr>
              <w:snapToGrid w:val="0"/>
              <w:jc w:val="center"/>
              <w:rPr>
                <w:bCs/>
                <w:sz w:val="15"/>
                <w:szCs w:val="15"/>
              </w:rPr>
            </w:pPr>
            <w:r>
              <w:rPr>
                <w:rFonts w:hint="eastAsia"/>
                <w:bCs/>
                <w:sz w:val="15"/>
                <w:szCs w:val="15"/>
              </w:rPr>
              <w:t>70.00</w:t>
            </w:r>
          </w:p>
        </w:tc>
        <w:tc>
          <w:tcPr>
            <w:tcW w:w="754" w:type="dxa"/>
            <w:tcBorders>
              <w:top w:val="nil"/>
              <w:left w:val="nil"/>
              <w:bottom w:val="nil"/>
              <w:right w:val="nil"/>
            </w:tcBorders>
            <w:shd w:val="clear" w:color="auto" w:fill="auto"/>
            <w:noWrap/>
            <w:vAlign w:val="center"/>
          </w:tcPr>
          <w:p w14:paraId="28685BDB" w14:textId="77777777" w:rsidR="0025680F" w:rsidRDefault="00D201ED">
            <w:pPr>
              <w:snapToGrid w:val="0"/>
              <w:jc w:val="center"/>
              <w:rPr>
                <w:bCs/>
                <w:sz w:val="15"/>
                <w:szCs w:val="15"/>
              </w:rPr>
            </w:pPr>
            <w:r>
              <w:rPr>
                <w:rFonts w:hint="eastAsia"/>
                <w:bCs/>
                <w:sz w:val="15"/>
                <w:szCs w:val="15"/>
              </w:rPr>
              <w:t>60.00</w:t>
            </w:r>
          </w:p>
        </w:tc>
        <w:tc>
          <w:tcPr>
            <w:tcW w:w="754" w:type="dxa"/>
            <w:tcBorders>
              <w:top w:val="nil"/>
              <w:left w:val="nil"/>
              <w:bottom w:val="nil"/>
              <w:right w:val="nil"/>
            </w:tcBorders>
            <w:shd w:val="clear" w:color="auto" w:fill="auto"/>
            <w:noWrap/>
            <w:vAlign w:val="center"/>
          </w:tcPr>
          <w:p w14:paraId="4EB71F8E" w14:textId="77777777" w:rsidR="0025680F" w:rsidRDefault="00D201ED">
            <w:pPr>
              <w:snapToGrid w:val="0"/>
              <w:jc w:val="center"/>
              <w:rPr>
                <w:bCs/>
                <w:sz w:val="15"/>
                <w:szCs w:val="15"/>
              </w:rPr>
            </w:pPr>
            <w:r>
              <w:rPr>
                <w:rFonts w:hint="eastAsia"/>
                <w:bCs/>
                <w:sz w:val="15"/>
                <w:szCs w:val="15"/>
              </w:rPr>
              <w:t>30.00</w:t>
            </w:r>
          </w:p>
        </w:tc>
        <w:tc>
          <w:tcPr>
            <w:tcW w:w="874" w:type="dxa"/>
            <w:tcBorders>
              <w:top w:val="nil"/>
              <w:left w:val="nil"/>
              <w:bottom w:val="nil"/>
              <w:right w:val="nil"/>
            </w:tcBorders>
            <w:shd w:val="clear" w:color="auto" w:fill="auto"/>
            <w:noWrap/>
            <w:vAlign w:val="center"/>
          </w:tcPr>
          <w:p w14:paraId="64FFF41D" w14:textId="77777777" w:rsidR="0025680F" w:rsidRDefault="00D201ED">
            <w:pPr>
              <w:snapToGrid w:val="0"/>
              <w:jc w:val="center"/>
              <w:rPr>
                <w:bCs/>
                <w:sz w:val="15"/>
                <w:szCs w:val="15"/>
              </w:rPr>
            </w:pPr>
            <w:r>
              <w:rPr>
                <w:rFonts w:hint="eastAsia"/>
                <w:bCs/>
                <w:sz w:val="15"/>
                <w:szCs w:val="15"/>
              </w:rPr>
              <w:t>40.00</w:t>
            </w:r>
          </w:p>
        </w:tc>
        <w:tc>
          <w:tcPr>
            <w:tcW w:w="874" w:type="dxa"/>
            <w:tcBorders>
              <w:top w:val="nil"/>
              <w:left w:val="nil"/>
              <w:bottom w:val="nil"/>
              <w:right w:val="nil"/>
            </w:tcBorders>
            <w:shd w:val="clear" w:color="auto" w:fill="auto"/>
            <w:noWrap/>
            <w:vAlign w:val="center"/>
          </w:tcPr>
          <w:p w14:paraId="26EC087B" w14:textId="77777777" w:rsidR="0025680F" w:rsidRDefault="00D201ED">
            <w:pPr>
              <w:snapToGrid w:val="0"/>
              <w:jc w:val="center"/>
              <w:rPr>
                <w:bCs/>
                <w:sz w:val="15"/>
                <w:szCs w:val="15"/>
              </w:rPr>
            </w:pPr>
            <w:r>
              <w:rPr>
                <w:rFonts w:hint="eastAsia"/>
                <w:bCs/>
                <w:sz w:val="15"/>
                <w:szCs w:val="15"/>
              </w:rPr>
              <w:t>50.00</w:t>
            </w:r>
          </w:p>
        </w:tc>
        <w:tc>
          <w:tcPr>
            <w:tcW w:w="754" w:type="dxa"/>
            <w:tcBorders>
              <w:top w:val="nil"/>
              <w:left w:val="nil"/>
              <w:bottom w:val="nil"/>
              <w:right w:val="nil"/>
            </w:tcBorders>
            <w:shd w:val="clear" w:color="auto" w:fill="auto"/>
            <w:noWrap/>
            <w:vAlign w:val="center"/>
          </w:tcPr>
          <w:p w14:paraId="15E135EC" w14:textId="77777777" w:rsidR="0025680F" w:rsidRDefault="00D201ED">
            <w:pPr>
              <w:snapToGrid w:val="0"/>
              <w:jc w:val="center"/>
              <w:rPr>
                <w:bCs/>
                <w:sz w:val="15"/>
                <w:szCs w:val="15"/>
              </w:rPr>
            </w:pPr>
            <w:r>
              <w:rPr>
                <w:rFonts w:hint="eastAsia"/>
                <w:bCs/>
                <w:sz w:val="15"/>
                <w:szCs w:val="15"/>
              </w:rPr>
              <w:t>80.00</w:t>
            </w:r>
          </w:p>
        </w:tc>
        <w:tc>
          <w:tcPr>
            <w:tcW w:w="754" w:type="dxa"/>
            <w:tcBorders>
              <w:top w:val="nil"/>
              <w:left w:val="nil"/>
              <w:bottom w:val="nil"/>
              <w:right w:val="nil"/>
            </w:tcBorders>
            <w:shd w:val="clear" w:color="auto" w:fill="auto"/>
            <w:noWrap/>
            <w:vAlign w:val="center"/>
          </w:tcPr>
          <w:p w14:paraId="2C328A86" w14:textId="77777777" w:rsidR="0025680F" w:rsidRDefault="00D201ED">
            <w:pPr>
              <w:snapToGrid w:val="0"/>
              <w:jc w:val="center"/>
              <w:rPr>
                <w:bCs/>
                <w:sz w:val="15"/>
                <w:szCs w:val="15"/>
              </w:rPr>
            </w:pPr>
            <w:r>
              <w:rPr>
                <w:rFonts w:hint="eastAsia"/>
                <w:bCs/>
                <w:sz w:val="15"/>
                <w:szCs w:val="15"/>
              </w:rPr>
              <w:t>30.00</w:t>
            </w:r>
          </w:p>
        </w:tc>
        <w:tc>
          <w:tcPr>
            <w:tcW w:w="874" w:type="dxa"/>
            <w:tcBorders>
              <w:top w:val="nil"/>
              <w:left w:val="nil"/>
              <w:bottom w:val="nil"/>
              <w:right w:val="nil"/>
            </w:tcBorders>
            <w:shd w:val="clear" w:color="auto" w:fill="auto"/>
            <w:noWrap/>
            <w:vAlign w:val="center"/>
          </w:tcPr>
          <w:p w14:paraId="68E43705" w14:textId="77777777" w:rsidR="0025680F" w:rsidRDefault="00D201ED">
            <w:pPr>
              <w:snapToGrid w:val="0"/>
              <w:jc w:val="center"/>
              <w:rPr>
                <w:bCs/>
                <w:sz w:val="15"/>
                <w:szCs w:val="15"/>
              </w:rPr>
            </w:pPr>
            <w:r>
              <w:rPr>
                <w:rFonts w:hint="eastAsia"/>
                <w:bCs/>
                <w:sz w:val="15"/>
                <w:szCs w:val="15"/>
              </w:rPr>
              <w:t>50.00</w:t>
            </w:r>
          </w:p>
        </w:tc>
        <w:tc>
          <w:tcPr>
            <w:tcW w:w="754" w:type="dxa"/>
            <w:tcBorders>
              <w:top w:val="nil"/>
              <w:left w:val="nil"/>
              <w:bottom w:val="nil"/>
              <w:right w:val="nil"/>
            </w:tcBorders>
            <w:shd w:val="clear" w:color="auto" w:fill="auto"/>
            <w:noWrap/>
            <w:vAlign w:val="center"/>
          </w:tcPr>
          <w:p w14:paraId="60123281" w14:textId="77777777" w:rsidR="0025680F" w:rsidRDefault="00D201ED">
            <w:pPr>
              <w:snapToGrid w:val="0"/>
              <w:jc w:val="center"/>
              <w:rPr>
                <w:bCs/>
                <w:sz w:val="15"/>
                <w:szCs w:val="15"/>
              </w:rPr>
            </w:pPr>
            <w:r>
              <w:rPr>
                <w:rFonts w:hint="eastAsia"/>
                <w:bCs/>
                <w:sz w:val="15"/>
                <w:szCs w:val="15"/>
              </w:rPr>
              <w:t>70.00</w:t>
            </w:r>
          </w:p>
        </w:tc>
        <w:tc>
          <w:tcPr>
            <w:tcW w:w="754" w:type="dxa"/>
            <w:tcBorders>
              <w:top w:val="nil"/>
              <w:left w:val="nil"/>
              <w:bottom w:val="nil"/>
              <w:right w:val="nil"/>
            </w:tcBorders>
            <w:shd w:val="clear" w:color="auto" w:fill="auto"/>
            <w:noWrap/>
            <w:vAlign w:val="center"/>
          </w:tcPr>
          <w:p w14:paraId="3102E915" w14:textId="77777777" w:rsidR="0025680F" w:rsidRDefault="00D201ED">
            <w:pPr>
              <w:snapToGrid w:val="0"/>
              <w:jc w:val="center"/>
              <w:rPr>
                <w:bCs/>
                <w:sz w:val="15"/>
                <w:szCs w:val="15"/>
              </w:rPr>
            </w:pPr>
            <w:r>
              <w:rPr>
                <w:rFonts w:hint="eastAsia"/>
                <w:bCs/>
                <w:sz w:val="15"/>
                <w:szCs w:val="15"/>
              </w:rPr>
              <w:t>1.00</w:t>
            </w:r>
          </w:p>
        </w:tc>
        <w:tc>
          <w:tcPr>
            <w:tcW w:w="748" w:type="dxa"/>
            <w:tcBorders>
              <w:top w:val="nil"/>
              <w:left w:val="nil"/>
              <w:bottom w:val="nil"/>
              <w:right w:val="nil"/>
            </w:tcBorders>
            <w:shd w:val="clear" w:color="auto" w:fill="auto"/>
            <w:noWrap/>
            <w:vAlign w:val="center"/>
          </w:tcPr>
          <w:p w14:paraId="7FDDA655" w14:textId="77777777" w:rsidR="0025680F" w:rsidRDefault="00D201ED">
            <w:pPr>
              <w:snapToGrid w:val="0"/>
              <w:jc w:val="center"/>
              <w:rPr>
                <w:bCs/>
                <w:sz w:val="15"/>
                <w:szCs w:val="15"/>
              </w:rPr>
            </w:pPr>
            <w:r>
              <w:rPr>
                <w:rFonts w:hint="eastAsia"/>
                <w:bCs/>
                <w:sz w:val="15"/>
                <w:szCs w:val="15"/>
              </w:rPr>
              <w:t>0.40</w:t>
            </w:r>
          </w:p>
        </w:tc>
        <w:tc>
          <w:tcPr>
            <w:tcW w:w="825" w:type="dxa"/>
            <w:tcBorders>
              <w:top w:val="nil"/>
              <w:left w:val="nil"/>
              <w:bottom w:val="nil"/>
              <w:right w:val="nil"/>
            </w:tcBorders>
            <w:shd w:val="clear" w:color="auto" w:fill="auto"/>
            <w:noWrap/>
            <w:vAlign w:val="center"/>
          </w:tcPr>
          <w:p w14:paraId="7DA65535" w14:textId="77777777" w:rsidR="0025680F" w:rsidRDefault="00D201ED">
            <w:pPr>
              <w:snapToGrid w:val="0"/>
              <w:jc w:val="center"/>
              <w:rPr>
                <w:bCs/>
                <w:sz w:val="15"/>
                <w:szCs w:val="15"/>
              </w:rPr>
            </w:pPr>
            <w:r>
              <w:rPr>
                <w:rFonts w:hint="eastAsia"/>
                <w:bCs/>
                <w:sz w:val="15"/>
                <w:szCs w:val="15"/>
              </w:rPr>
              <w:t>37.00</w:t>
            </w:r>
          </w:p>
        </w:tc>
      </w:tr>
      <w:tr w:rsidR="0025680F" w14:paraId="0B635301" w14:textId="77777777">
        <w:trPr>
          <w:jc w:val="center"/>
        </w:trPr>
        <w:tc>
          <w:tcPr>
            <w:tcW w:w="1262" w:type="dxa"/>
            <w:tcBorders>
              <w:top w:val="nil"/>
              <w:left w:val="nil"/>
              <w:bottom w:val="nil"/>
              <w:right w:val="nil"/>
            </w:tcBorders>
            <w:shd w:val="clear" w:color="auto" w:fill="auto"/>
            <w:noWrap/>
            <w:vAlign w:val="center"/>
          </w:tcPr>
          <w:p w14:paraId="1EB04030" w14:textId="77777777" w:rsidR="0025680F" w:rsidRDefault="00D201ED">
            <w:pPr>
              <w:snapToGrid w:val="0"/>
              <w:jc w:val="center"/>
              <w:rPr>
                <w:bCs/>
                <w:sz w:val="15"/>
                <w:szCs w:val="15"/>
              </w:rPr>
            </w:pPr>
            <w:r>
              <w:rPr>
                <w:rFonts w:hint="eastAsia"/>
                <w:bCs/>
                <w:sz w:val="15"/>
                <w:szCs w:val="15"/>
              </w:rPr>
              <w:t>太原铁路局</w:t>
            </w:r>
          </w:p>
        </w:tc>
        <w:tc>
          <w:tcPr>
            <w:tcW w:w="754" w:type="dxa"/>
            <w:tcBorders>
              <w:top w:val="nil"/>
              <w:left w:val="nil"/>
              <w:bottom w:val="nil"/>
              <w:right w:val="nil"/>
            </w:tcBorders>
            <w:shd w:val="clear" w:color="auto" w:fill="auto"/>
            <w:noWrap/>
            <w:vAlign w:val="center"/>
          </w:tcPr>
          <w:p w14:paraId="4DE83AE2" w14:textId="77777777" w:rsidR="0025680F" w:rsidRDefault="00D201ED">
            <w:pPr>
              <w:snapToGrid w:val="0"/>
              <w:jc w:val="center"/>
              <w:rPr>
                <w:bCs/>
                <w:sz w:val="15"/>
                <w:szCs w:val="15"/>
              </w:rPr>
            </w:pPr>
            <w:r>
              <w:rPr>
                <w:rFonts w:hint="eastAsia"/>
                <w:bCs/>
                <w:sz w:val="15"/>
                <w:szCs w:val="15"/>
              </w:rPr>
              <w:t>70.00</w:t>
            </w:r>
          </w:p>
        </w:tc>
        <w:tc>
          <w:tcPr>
            <w:tcW w:w="754" w:type="dxa"/>
            <w:tcBorders>
              <w:top w:val="nil"/>
              <w:left w:val="nil"/>
              <w:bottom w:val="nil"/>
              <w:right w:val="nil"/>
            </w:tcBorders>
            <w:shd w:val="clear" w:color="auto" w:fill="auto"/>
            <w:noWrap/>
            <w:vAlign w:val="center"/>
          </w:tcPr>
          <w:p w14:paraId="5BE0D66D" w14:textId="77777777" w:rsidR="0025680F" w:rsidRDefault="00D201ED">
            <w:pPr>
              <w:snapToGrid w:val="0"/>
              <w:jc w:val="center"/>
              <w:rPr>
                <w:bCs/>
                <w:sz w:val="15"/>
                <w:szCs w:val="15"/>
              </w:rPr>
            </w:pPr>
            <w:r>
              <w:rPr>
                <w:rFonts w:hint="eastAsia"/>
                <w:bCs/>
                <w:sz w:val="15"/>
                <w:szCs w:val="15"/>
              </w:rPr>
              <w:t>40.00</w:t>
            </w:r>
          </w:p>
        </w:tc>
        <w:tc>
          <w:tcPr>
            <w:tcW w:w="754" w:type="dxa"/>
            <w:tcBorders>
              <w:top w:val="nil"/>
              <w:left w:val="nil"/>
              <w:bottom w:val="nil"/>
              <w:right w:val="nil"/>
            </w:tcBorders>
            <w:shd w:val="clear" w:color="auto" w:fill="auto"/>
            <w:noWrap/>
            <w:vAlign w:val="center"/>
          </w:tcPr>
          <w:p w14:paraId="06EA46E4" w14:textId="77777777" w:rsidR="0025680F" w:rsidRDefault="00D201ED">
            <w:pPr>
              <w:snapToGrid w:val="0"/>
              <w:jc w:val="center"/>
              <w:rPr>
                <w:bCs/>
                <w:sz w:val="15"/>
                <w:szCs w:val="15"/>
              </w:rPr>
            </w:pPr>
            <w:r>
              <w:rPr>
                <w:rFonts w:hint="eastAsia"/>
                <w:bCs/>
                <w:sz w:val="15"/>
                <w:szCs w:val="15"/>
              </w:rPr>
              <w:t>40.00</w:t>
            </w:r>
          </w:p>
        </w:tc>
        <w:tc>
          <w:tcPr>
            <w:tcW w:w="874" w:type="dxa"/>
            <w:tcBorders>
              <w:top w:val="nil"/>
              <w:left w:val="nil"/>
              <w:bottom w:val="nil"/>
              <w:right w:val="nil"/>
            </w:tcBorders>
            <w:shd w:val="clear" w:color="auto" w:fill="auto"/>
            <w:noWrap/>
            <w:vAlign w:val="center"/>
          </w:tcPr>
          <w:p w14:paraId="5E5B0AB1" w14:textId="77777777" w:rsidR="0025680F" w:rsidRDefault="00D201ED">
            <w:pPr>
              <w:snapToGrid w:val="0"/>
              <w:jc w:val="center"/>
              <w:rPr>
                <w:bCs/>
                <w:sz w:val="15"/>
                <w:szCs w:val="15"/>
              </w:rPr>
            </w:pPr>
            <w:r>
              <w:rPr>
                <w:rFonts w:hint="eastAsia"/>
                <w:bCs/>
                <w:sz w:val="15"/>
                <w:szCs w:val="15"/>
              </w:rPr>
              <w:t>-40.00</w:t>
            </w:r>
          </w:p>
        </w:tc>
        <w:tc>
          <w:tcPr>
            <w:tcW w:w="874" w:type="dxa"/>
            <w:tcBorders>
              <w:top w:val="nil"/>
              <w:left w:val="nil"/>
              <w:bottom w:val="nil"/>
              <w:right w:val="nil"/>
            </w:tcBorders>
            <w:shd w:val="clear" w:color="auto" w:fill="auto"/>
            <w:noWrap/>
            <w:vAlign w:val="center"/>
          </w:tcPr>
          <w:p w14:paraId="53F79458" w14:textId="77777777" w:rsidR="0025680F" w:rsidRDefault="00D201ED">
            <w:pPr>
              <w:snapToGrid w:val="0"/>
              <w:jc w:val="center"/>
              <w:rPr>
                <w:bCs/>
                <w:sz w:val="15"/>
                <w:szCs w:val="15"/>
              </w:rPr>
            </w:pPr>
            <w:r>
              <w:rPr>
                <w:rFonts w:hint="eastAsia"/>
                <w:bCs/>
                <w:sz w:val="15"/>
                <w:szCs w:val="15"/>
              </w:rPr>
              <w:t>40.00</w:t>
            </w:r>
          </w:p>
        </w:tc>
        <w:tc>
          <w:tcPr>
            <w:tcW w:w="754" w:type="dxa"/>
            <w:tcBorders>
              <w:top w:val="nil"/>
              <w:left w:val="nil"/>
              <w:bottom w:val="nil"/>
              <w:right w:val="nil"/>
            </w:tcBorders>
            <w:shd w:val="clear" w:color="auto" w:fill="auto"/>
            <w:noWrap/>
            <w:vAlign w:val="center"/>
          </w:tcPr>
          <w:p w14:paraId="31997C2B" w14:textId="77777777" w:rsidR="0025680F" w:rsidRDefault="00D201ED">
            <w:pPr>
              <w:snapToGrid w:val="0"/>
              <w:jc w:val="center"/>
              <w:rPr>
                <w:bCs/>
                <w:sz w:val="15"/>
                <w:szCs w:val="15"/>
              </w:rPr>
            </w:pPr>
            <w:r>
              <w:rPr>
                <w:rFonts w:hint="eastAsia"/>
                <w:bCs/>
                <w:sz w:val="15"/>
                <w:szCs w:val="15"/>
              </w:rPr>
              <w:t>50.00</w:t>
            </w:r>
          </w:p>
        </w:tc>
        <w:tc>
          <w:tcPr>
            <w:tcW w:w="754" w:type="dxa"/>
            <w:tcBorders>
              <w:top w:val="nil"/>
              <w:left w:val="nil"/>
              <w:bottom w:val="nil"/>
              <w:right w:val="nil"/>
            </w:tcBorders>
            <w:shd w:val="clear" w:color="auto" w:fill="auto"/>
            <w:noWrap/>
            <w:vAlign w:val="center"/>
          </w:tcPr>
          <w:p w14:paraId="7E7CB9D1" w14:textId="77777777" w:rsidR="0025680F" w:rsidRDefault="00D201ED">
            <w:pPr>
              <w:snapToGrid w:val="0"/>
              <w:jc w:val="center"/>
              <w:rPr>
                <w:bCs/>
                <w:sz w:val="15"/>
                <w:szCs w:val="15"/>
              </w:rPr>
            </w:pPr>
            <w:r>
              <w:rPr>
                <w:rFonts w:hint="eastAsia"/>
                <w:bCs/>
                <w:sz w:val="15"/>
                <w:szCs w:val="15"/>
              </w:rPr>
              <w:t>30.00</w:t>
            </w:r>
          </w:p>
        </w:tc>
        <w:tc>
          <w:tcPr>
            <w:tcW w:w="874" w:type="dxa"/>
            <w:tcBorders>
              <w:top w:val="nil"/>
              <w:left w:val="nil"/>
              <w:bottom w:val="nil"/>
              <w:right w:val="nil"/>
            </w:tcBorders>
            <w:shd w:val="clear" w:color="auto" w:fill="auto"/>
            <w:noWrap/>
            <w:vAlign w:val="center"/>
          </w:tcPr>
          <w:p w14:paraId="7FF562E3" w14:textId="77777777" w:rsidR="0025680F" w:rsidRDefault="00D201ED">
            <w:pPr>
              <w:snapToGrid w:val="0"/>
              <w:jc w:val="center"/>
              <w:rPr>
                <w:bCs/>
                <w:sz w:val="15"/>
                <w:szCs w:val="15"/>
              </w:rPr>
            </w:pPr>
            <w:r>
              <w:rPr>
                <w:rFonts w:hint="eastAsia"/>
                <w:bCs/>
                <w:sz w:val="15"/>
                <w:szCs w:val="15"/>
              </w:rPr>
              <w:t>30.00</w:t>
            </w:r>
          </w:p>
        </w:tc>
        <w:tc>
          <w:tcPr>
            <w:tcW w:w="754" w:type="dxa"/>
            <w:tcBorders>
              <w:top w:val="nil"/>
              <w:left w:val="nil"/>
              <w:bottom w:val="nil"/>
              <w:right w:val="nil"/>
            </w:tcBorders>
            <w:shd w:val="clear" w:color="auto" w:fill="auto"/>
            <w:noWrap/>
            <w:vAlign w:val="center"/>
          </w:tcPr>
          <w:p w14:paraId="75DFBD2F" w14:textId="77777777" w:rsidR="0025680F" w:rsidRDefault="00D201ED">
            <w:pPr>
              <w:snapToGrid w:val="0"/>
              <w:jc w:val="center"/>
              <w:rPr>
                <w:bCs/>
                <w:sz w:val="15"/>
                <w:szCs w:val="15"/>
              </w:rPr>
            </w:pPr>
            <w:r>
              <w:rPr>
                <w:rFonts w:hint="eastAsia"/>
                <w:bCs/>
                <w:sz w:val="15"/>
                <w:szCs w:val="15"/>
              </w:rPr>
              <w:t>60.00</w:t>
            </w:r>
          </w:p>
        </w:tc>
        <w:tc>
          <w:tcPr>
            <w:tcW w:w="754" w:type="dxa"/>
            <w:tcBorders>
              <w:top w:val="nil"/>
              <w:left w:val="nil"/>
              <w:bottom w:val="nil"/>
              <w:right w:val="nil"/>
            </w:tcBorders>
            <w:shd w:val="clear" w:color="auto" w:fill="auto"/>
            <w:noWrap/>
            <w:vAlign w:val="center"/>
          </w:tcPr>
          <w:p w14:paraId="46C0A9D3" w14:textId="77777777" w:rsidR="0025680F" w:rsidRDefault="00D201ED">
            <w:pPr>
              <w:snapToGrid w:val="0"/>
              <w:jc w:val="center"/>
              <w:rPr>
                <w:bCs/>
                <w:sz w:val="15"/>
                <w:szCs w:val="15"/>
              </w:rPr>
            </w:pPr>
            <w:r>
              <w:rPr>
                <w:rFonts w:hint="eastAsia"/>
                <w:bCs/>
                <w:sz w:val="15"/>
                <w:szCs w:val="15"/>
              </w:rPr>
              <w:t>3.00</w:t>
            </w:r>
          </w:p>
        </w:tc>
        <w:tc>
          <w:tcPr>
            <w:tcW w:w="748" w:type="dxa"/>
            <w:tcBorders>
              <w:top w:val="nil"/>
              <w:left w:val="nil"/>
              <w:bottom w:val="nil"/>
              <w:right w:val="nil"/>
            </w:tcBorders>
            <w:shd w:val="clear" w:color="auto" w:fill="auto"/>
            <w:noWrap/>
            <w:vAlign w:val="center"/>
          </w:tcPr>
          <w:p w14:paraId="6DC687BA" w14:textId="77777777" w:rsidR="0025680F" w:rsidRDefault="00D201ED">
            <w:pPr>
              <w:snapToGrid w:val="0"/>
              <w:jc w:val="center"/>
              <w:rPr>
                <w:bCs/>
                <w:sz w:val="15"/>
                <w:szCs w:val="15"/>
              </w:rPr>
            </w:pPr>
            <w:r>
              <w:rPr>
                <w:rFonts w:hint="eastAsia"/>
                <w:bCs/>
                <w:sz w:val="15"/>
                <w:szCs w:val="15"/>
              </w:rPr>
              <w:t>0.70</w:t>
            </w:r>
          </w:p>
        </w:tc>
        <w:tc>
          <w:tcPr>
            <w:tcW w:w="825" w:type="dxa"/>
            <w:tcBorders>
              <w:top w:val="nil"/>
              <w:left w:val="nil"/>
              <w:bottom w:val="nil"/>
              <w:right w:val="nil"/>
            </w:tcBorders>
            <w:shd w:val="clear" w:color="auto" w:fill="auto"/>
            <w:noWrap/>
            <w:vAlign w:val="center"/>
          </w:tcPr>
          <w:p w14:paraId="3037E99E" w14:textId="77777777" w:rsidR="0025680F" w:rsidRDefault="00D201ED">
            <w:pPr>
              <w:snapToGrid w:val="0"/>
              <w:jc w:val="center"/>
              <w:rPr>
                <w:bCs/>
                <w:sz w:val="15"/>
                <w:szCs w:val="15"/>
              </w:rPr>
            </w:pPr>
            <w:r>
              <w:rPr>
                <w:rFonts w:hint="eastAsia"/>
                <w:bCs/>
                <w:sz w:val="15"/>
                <w:szCs w:val="15"/>
              </w:rPr>
              <w:t>33.43</w:t>
            </w:r>
          </w:p>
        </w:tc>
      </w:tr>
      <w:tr w:rsidR="0025680F" w14:paraId="3EFF8451" w14:textId="77777777">
        <w:trPr>
          <w:jc w:val="center"/>
        </w:trPr>
        <w:tc>
          <w:tcPr>
            <w:tcW w:w="1262" w:type="dxa"/>
            <w:tcBorders>
              <w:top w:val="nil"/>
              <w:left w:val="nil"/>
              <w:bottom w:val="nil"/>
              <w:right w:val="nil"/>
            </w:tcBorders>
            <w:shd w:val="clear" w:color="auto" w:fill="auto"/>
            <w:noWrap/>
            <w:vAlign w:val="center"/>
          </w:tcPr>
          <w:p w14:paraId="3AE02DD0" w14:textId="77777777" w:rsidR="0025680F" w:rsidRDefault="00D201ED">
            <w:pPr>
              <w:snapToGrid w:val="0"/>
              <w:jc w:val="center"/>
              <w:rPr>
                <w:bCs/>
                <w:sz w:val="15"/>
                <w:szCs w:val="15"/>
              </w:rPr>
            </w:pPr>
            <w:r>
              <w:rPr>
                <w:rFonts w:hint="eastAsia"/>
                <w:bCs/>
                <w:sz w:val="15"/>
                <w:szCs w:val="15"/>
              </w:rPr>
              <w:t>成都铁路局</w:t>
            </w:r>
          </w:p>
        </w:tc>
        <w:tc>
          <w:tcPr>
            <w:tcW w:w="754" w:type="dxa"/>
            <w:tcBorders>
              <w:top w:val="nil"/>
              <w:left w:val="nil"/>
              <w:bottom w:val="nil"/>
              <w:right w:val="nil"/>
            </w:tcBorders>
            <w:shd w:val="clear" w:color="auto" w:fill="auto"/>
            <w:noWrap/>
            <w:vAlign w:val="center"/>
          </w:tcPr>
          <w:p w14:paraId="7D79D46A" w14:textId="77777777" w:rsidR="0025680F" w:rsidRDefault="00D201ED">
            <w:pPr>
              <w:snapToGrid w:val="0"/>
              <w:jc w:val="center"/>
              <w:rPr>
                <w:bCs/>
                <w:sz w:val="15"/>
                <w:szCs w:val="15"/>
              </w:rPr>
            </w:pPr>
            <w:r>
              <w:rPr>
                <w:rFonts w:hint="eastAsia"/>
                <w:bCs/>
                <w:sz w:val="15"/>
                <w:szCs w:val="15"/>
              </w:rPr>
              <w:t>60.00</w:t>
            </w:r>
          </w:p>
        </w:tc>
        <w:tc>
          <w:tcPr>
            <w:tcW w:w="754" w:type="dxa"/>
            <w:tcBorders>
              <w:top w:val="nil"/>
              <w:left w:val="nil"/>
              <w:bottom w:val="nil"/>
              <w:right w:val="nil"/>
            </w:tcBorders>
            <w:shd w:val="clear" w:color="auto" w:fill="auto"/>
            <w:noWrap/>
            <w:vAlign w:val="center"/>
          </w:tcPr>
          <w:p w14:paraId="27CE124B" w14:textId="77777777" w:rsidR="0025680F" w:rsidRDefault="00D201ED">
            <w:pPr>
              <w:snapToGrid w:val="0"/>
              <w:jc w:val="center"/>
              <w:rPr>
                <w:bCs/>
                <w:sz w:val="15"/>
                <w:szCs w:val="15"/>
              </w:rPr>
            </w:pPr>
            <w:r>
              <w:rPr>
                <w:rFonts w:hint="eastAsia"/>
                <w:bCs/>
                <w:sz w:val="15"/>
                <w:szCs w:val="15"/>
              </w:rPr>
              <w:t>40.00</w:t>
            </w:r>
          </w:p>
        </w:tc>
        <w:tc>
          <w:tcPr>
            <w:tcW w:w="754" w:type="dxa"/>
            <w:tcBorders>
              <w:top w:val="nil"/>
              <w:left w:val="nil"/>
              <w:bottom w:val="nil"/>
              <w:right w:val="nil"/>
            </w:tcBorders>
            <w:shd w:val="clear" w:color="auto" w:fill="auto"/>
            <w:noWrap/>
            <w:vAlign w:val="center"/>
          </w:tcPr>
          <w:p w14:paraId="24A4EF7B" w14:textId="77777777" w:rsidR="0025680F" w:rsidRDefault="00D201ED">
            <w:pPr>
              <w:snapToGrid w:val="0"/>
              <w:jc w:val="center"/>
              <w:rPr>
                <w:bCs/>
                <w:sz w:val="15"/>
                <w:szCs w:val="15"/>
              </w:rPr>
            </w:pPr>
            <w:r>
              <w:rPr>
                <w:rFonts w:hint="eastAsia"/>
                <w:bCs/>
                <w:sz w:val="15"/>
                <w:szCs w:val="15"/>
              </w:rPr>
              <w:t>60.00</w:t>
            </w:r>
          </w:p>
        </w:tc>
        <w:tc>
          <w:tcPr>
            <w:tcW w:w="874" w:type="dxa"/>
            <w:tcBorders>
              <w:top w:val="nil"/>
              <w:left w:val="nil"/>
              <w:bottom w:val="nil"/>
              <w:right w:val="nil"/>
            </w:tcBorders>
            <w:shd w:val="clear" w:color="auto" w:fill="auto"/>
            <w:noWrap/>
            <w:vAlign w:val="center"/>
          </w:tcPr>
          <w:p w14:paraId="7CE12F5C" w14:textId="77777777" w:rsidR="0025680F" w:rsidRDefault="00D201ED">
            <w:pPr>
              <w:snapToGrid w:val="0"/>
              <w:jc w:val="center"/>
              <w:rPr>
                <w:bCs/>
                <w:sz w:val="15"/>
                <w:szCs w:val="15"/>
              </w:rPr>
            </w:pPr>
            <w:r>
              <w:rPr>
                <w:rFonts w:hint="eastAsia"/>
                <w:bCs/>
                <w:sz w:val="15"/>
                <w:szCs w:val="15"/>
              </w:rPr>
              <w:t>-20.00</w:t>
            </w:r>
          </w:p>
        </w:tc>
        <w:tc>
          <w:tcPr>
            <w:tcW w:w="874" w:type="dxa"/>
            <w:tcBorders>
              <w:top w:val="nil"/>
              <w:left w:val="nil"/>
              <w:bottom w:val="nil"/>
              <w:right w:val="nil"/>
            </w:tcBorders>
            <w:shd w:val="clear" w:color="auto" w:fill="auto"/>
            <w:noWrap/>
            <w:vAlign w:val="center"/>
          </w:tcPr>
          <w:p w14:paraId="141BE408" w14:textId="77777777" w:rsidR="0025680F" w:rsidRDefault="00D201ED">
            <w:pPr>
              <w:snapToGrid w:val="0"/>
              <w:jc w:val="center"/>
              <w:rPr>
                <w:bCs/>
                <w:sz w:val="15"/>
                <w:szCs w:val="15"/>
              </w:rPr>
            </w:pPr>
            <w:r>
              <w:rPr>
                <w:rFonts w:hint="eastAsia"/>
                <w:bCs/>
                <w:sz w:val="15"/>
                <w:szCs w:val="15"/>
              </w:rPr>
              <w:t>60.00</w:t>
            </w:r>
          </w:p>
        </w:tc>
        <w:tc>
          <w:tcPr>
            <w:tcW w:w="754" w:type="dxa"/>
            <w:tcBorders>
              <w:top w:val="nil"/>
              <w:left w:val="nil"/>
              <w:bottom w:val="nil"/>
              <w:right w:val="nil"/>
            </w:tcBorders>
            <w:shd w:val="clear" w:color="auto" w:fill="auto"/>
            <w:noWrap/>
            <w:vAlign w:val="center"/>
          </w:tcPr>
          <w:p w14:paraId="425F5B9F" w14:textId="77777777" w:rsidR="0025680F" w:rsidRDefault="00D201ED">
            <w:pPr>
              <w:snapToGrid w:val="0"/>
              <w:jc w:val="center"/>
              <w:rPr>
                <w:bCs/>
                <w:sz w:val="15"/>
                <w:szCs w:val="15"/>
              </w:rPr>
            </w:pPr>
            <w:r>
              <w:rPr>
                <w:rFonts w:hint="eastAsia"/>
                <w:bCs/>
                <w:sz w:val="15"/>
                <w:szCs w:val="15"/>
              </w:rPr>
              <w:t>40.00</w:t>
            </w:r>
          </w:p>
        </w:tc>
        <w:tc>
          <w:tcPr>
            <w:tcW w:w="754" w:type="dxa"/>
            <w:tcBorders>
              <w:top w:val="nil"/>
              <w:left w:val="nil"/>
              <w:bottom w:val="nil"/>
              <w:right w:val="nil"/>
            </w:tcBorders>
            <w:shd w:val="clear" w:color="auto" w:fill="auto"/>
            <w:noWrap/>
            <w:vAlign w:val="center"/>
          </w:tcPr>
          <w:p w14:paraId="48A89B64" w14:textId="77777777" w:rsidR="0025680F" w:rsidRDefault="00D201ED">
            <w:pPr>
              <w:snapToGrid w:val="0"/>
              <w:jc w:val="center"/>
              <w:rPr>
                <w:bCs/>
                <w:sz w:val="15"/>
                <w:szCs w:val="15"/>
              </w:rPr>
            </w:pPr>
            <w:r>
              <w:rPr>
                <w:rFonts w:hint="eastAsia"/>
                <w:bCs/>
                <w:sz w:val="15"/>
                <w:szCs w:val="15"/>
              </w:rPr>
              <w:t>20.00</w:t>
            </w:r>
          </w:p>
        </w:tc>
        <w:tc>
          <w:tcPr>
            <w:tcW w:w="874" w:type="dxa"/>
            <w:tcBorders>
              <w:top w:val="nil"/>
              <w:left w:val="nil"/>
              <w:bottom w:val="nil"/>
              <w:right w:val="nil"/>
            </w:tcBorders>
            <w:shd w:val="clear" w:color="auto" w:fill="auto"/>
            <w:noWrap/>
            <w:vAlign w:val="center"/>
          </w:tcPr>
          <w:p w14:paraId="0FB6DDE4" w14:textId="77777777" w:rsidR="0025680F" w:rsidRDefault="00D201ED">
            <w:pPr>
              <w:snapToGrid w:val="0"/>
              <w:jc w:val="center"/>
              <w:rPr>
                <w:bCs/>
                <w:sz w:val="15"/>
                <w:szCs w:val="15"/>
              </w:rPr>
            </w:pPr>
            <w:r>
              <w:rPr>
                <w:rFonts w:hint="eastAsia"/>
                <w:bCs/>
                <w:sz w:val="15"/>
                <w:szCs w:val="15"/>
              </w:rPr>
              <w:t>-20.00</w:t>
            </w:r>
          </w:p>
        </w:tc>
        <w:tc>
          <w:tcPr>
            <w:tcW w:w="754" w:type="dxa"/>
            <w:tcBorders>
              <w:top w:val="nil"/>
              <w:left w:val="nil"/>
              <w:bottom w:val="nil"/>
              <w:right w:val="nil"/>
            </w:tcBorders>
            <w:shd w:val="clear" w:color="auto" w:fill="auto"/>
            <w:noWrap/>
            <w:vAlign w:val="center"/>
          </w:tcPr>
          <w:p w14:paraId="658C1668" w14:textId="77777777" w:rsidR="0025680F" w:rsidRDefault="00D201ED">
            <w:pPr>
              <w:snapToGrid w:val="0"/>
              <w:jc w:val="center"/>
              <w:rPr>
                <w:bCs/>
                <w:sz w:val="15"/>
                <w:szCs w:val="15"/>
              </w:rPr>
            </w:pPr>
            <w:r>
              <w:rPr>
                <w:rFonts w:hint="eastAsia"/>
                <w:bCs/>
                <w:sz w:val="15"/>
                <w:szCs w:val="15"/>
              </w:rPr>
              <w:t>50.00</w:t>
            </w:r>
          </w:p>
        </w:tc>
        <w:tc>
          <w:tcPr>
            <w:tcW w:w="754" w:type="dxa"/>
            <w:tcBorders>
              <w:top w:val="nil"/>
              <w:left w:val="nil"/>
              <w:bottom w:val="nil"/>
              <w:right w:val="nil"/>
            </w:tcBorders>
            <w:shd w:val="clear" w:color="auto" w:fill="auto"/>
            <w:noWrap/>
            <w:vAlign w:val="center"/>
          </w:tcPr>
          <w:p w14:paraId="64BB07A5" w14:textId="77777777" w:rsidR="0025680F" w:rsidRDefault="00D201ED">
            <w:pPr>
              <w:snapToGrid w:val="0"/>
              <w:jc w:val="center"/>
              <w:rPr>
                <w:bCs/>
                <w:sz w:val="15"/>
                <w:szCs w:val="15"/>
              </w:rPr>
            </w:pPr>
            <w:r>
              <w:rPr>
                <w:rFonts w:hint="eastAsia"/>
                <w:bCs/>
                <w:sz w:val="15"/>
                <w:szCs w:val="15"/>
              </w:rPr>
              <w:t>5.00</w:t>
            </w:r>
          </w:p>
        </w:tc>
        <w:tc>
          <w:tcPr>
            <w:tcW w:w="748" w:type="dxa"/>
            <w:tcBorders>
              <w:top w:val="nil"/>
              <w:left w:val="nil"/>
              <w:bottom w:val="nil"/>
              <w:right w:val="nil"/>
            </w:tcBorders>
            <w:shd w:val="clear" w:color="auto" w:fill="auto"/>
            <w:noWrap/>
            <w:vAlign w:val="center"/>
          </w:tcPr>
          <w:p w14:paraId="0BC85806" w14:textId="77777777" w:rsidR="0025680F" w:rsidRDefault="00D201ED">
            <w:pPr>
              <w:snapToGrid w:val="0"/>
              <w:jc w:val="center"/>
              <w:rPr>
                <w:bCs/>
                <w:sz w:val="15"/>
                <w:szCs w:val="15"/>
              </w:rPr>
            </w:pPr>
            <w:r>
              <w:rPr>
                <w:rFonts w:hint="eastAsia"/>
                <w:bCs/>
                <w:sz w:val="15"/>
                <w:szCs w:val="15"/>
              </w:rPr>
              <w:t>0.40</w:t>
            </w:r>
          </w:p>
        </w:tc>
        <w:tc>
          <w:tcPr>
            <w:tcW w:w="825" w:type="dxa"/>
            <w:tcBorders>
              <w:top w:val="nil"/>
              <w:left w:val="nil"/>
              <w:bottom w:val="nil"/>
              <w:right w:val="nil"/>
            </w:tcBorders>
            <w:shd w:val="clear" w:color="auto" w:fill="auto"/>
            <w:noWrap/>
            <w:vAlign w:val="center"/>
          </w:tcPr>
          <w:p w14:paraId="49FAD3B0" w14:textId="77777777" w:rsidR="0025680F" w:rsidRDefault="00D201ED">
            <w:pPr>
              <w:snapToGrid w:val="0"/>
              <w:jc w:val="center"/>
              <w:rPr>
                <w:bCs/>
                <w:sz w:val="15"/>
                <w:szCs w:val="15"/>
              </w:rPr>
            </w:pPr>
            <w:r>
              <w:rPr>
                <w:rFonts w:hint="eastAsia"/>
                <w:bCs/>
                <w:sz w:val="15"/>
                <w:szCs w:val="15"/>
              </w:rPr>
              <w:t>30.50</w:t>
            </w:r>
          </w:p>
        </w:tc>
      </w:tr>
      <w:tr w:rsidR="0025680F" w14:paraId="65420462" w14:textId="77777777">
        <w:trPr>
          <w:jc w:val="center"/>
        </w:trPr>
        <w:tc>
          <w:tcPr>
            <w:tcW w:w="1262" w:type="dxa"/>
            <w:tcBorders>
              <w:top w:val="nil"/>
              <w:left w:val="nil"/>
              <w:bottom w:val="single" w:sz="4" w:space="0" w:color="auto"/>
              <w:right w:val="nil"/>
            </w:tcBorders>
            <w:shd w:val="clear" w:color="auto" w:fill="auto"/>
            <w:noWrap/>
            <w:vAlign w:val="center"/>
          </w:tcPr>
          <w:p w14:paraId="56D568D3" w14:textId="77777777" w:rsidR="0025680F" w:rsidRDefault="00D201ED">
            <w:pPr>
              <w:snapToGrid w:val="0"/>
              <w:jc w:val="center"/>
              <w:rPr>
                <w:bCs/>
                <w:sz w:val="15"/>
                <w:szCs w:val="15"/>
              </w:rPr>
            </w:pPr>
            <w:r>
              <w:rPr>
                <w:rFonts w:hint="eastAsia"/>
                <w:bCs/>
                <w:sz w:val="15"/>
                <w:szCs w:val="15"/>
              </w:rPr>
              <w:t>郑州铁路局</w:t>
            </w:r>
          </w:p>
        </w:tc>
        <w:tc>
          <w:tcPr>
            <w:tcW w:w="754" w:type="dxa"/>
            <w:tcBorders>
              <w:top w:val="nil"/>
              <w:left w:val="nil"/>
              <w:bottom w:val="single" w:sz="4" w:space="0" w:color="auto"/>
              <w:right w:val="nil"/>
            </w:tcBorders>
            <w:shd w:val="clear" w:color="auto" w:fill="auto"/>
            <w:noWrap/>
            <w:vAlign w:val="center"/>
          </w:tcPr>
          <w:p w14:paraId="1A3B58CC" w14:textId="77777777" w:rsidR="0025680F" w:rsidRDefault="00D201ED">
            <w:pPr>
              <w:snapToGrid w:val="0"/>
              <w:jc w:val="center"/>
              <w:rPr>
                <w:bCs/>
                <w:sz w:val="15"/>
                <w:szCs w:val="15"/>
              </w:rPr>
            </w:pPr>
            <w:r>
              <w:rPr>
                <w:rFonts w:hint="eastAsia"/>
                <w:bCs/>
                <w:sz w:val="15"/>
                <w:szCs w:val="15"/>
              </w:rPr>
              <w:t>70.00</w:t>
            </w:r>
          </w:p>
        </w:tc>
        <w:tc>
          <w:tcPr>
            <w:tcW w:w="754" w:type="dxa"/>
            <w:tcBorders>
              <w:top w:val="nil"/>
              <w:left w:val="nil"/>
              <w:bottom w:val="single" w:sz="4" w:space="0" w:color="auto"/>
              <w:right w:val="nil"/>
            </w:tcBorders>
            <w:shd w:val="clear" w:color="auto" w:fill="auto"/>
            <w:noWrap/>
            <w:vAlign w:val="center"/>
          </w:tcPr>
          <w:p w14:paraId="3BC46092" w14:textId="77777777" w:rsidR="0025680F" w:rsidRDefault="00D201ED">
            <w:pPr>
              <w:snapToGrid w:val="0"/>
              <w:jc w:val="center"/>
              <w:rPr>
                <w:bCs/>
                <w:sz w:val="15"/>
                <w:szCs w:val="15"/>
              </w:rPr>
            </w:pPr>
            <w:r>
              <w:rPr>
                <w:rFonts w:hint="eastAsia"/>
                <w:bCs/>
                <w:sz w:val="15"/>
                <w:szCs w:val="15"/>
              </w:rPr>
              <w:t>60.00</w:t>
            </w:r>
          </w:p>
        </w:tc>
        <w:tc>
          <w:tcPr>
            <w:tcW w:w="754" w:type="dxa"/>
            <w:tcBorders>
              <w:top w:val="nil"/>
              <w:left w:val="nil"/>
              <w:bottom w:val="single" w:sz="4" w:space="0" w:color="auto"/>
              <w:right w:val="nil"/>
            </w:tcBorders>
            <w:shd w:val="clear" w:color="auto" w:fill="auto"/>
            <w:noWrap/>
            <w:vAlign w:val="center"/>
          </w:tcPr>
          <w:p w14:paraId="2433D80B" w14:textId="77777777" w:rsidR="0025680F" w:rsidRDefault="00D201ED">
            <w:pPr>
              <w:snapToGrid w:val="0"/>
              <w:jc w:val="center"/>
              <w:rPr>
                <w:bCs/>
                <w:sz w:val="15"/>
                <w:szCs w:val="15"/>
              </w:rPr>
            </w:pPr>
            <w:r>
              <w:rPr>
                <w:rFonts w:hint="eastAsia"/>
                <w:bCs/>
                <w:sz w:val="15"/>
                <w:szCs w:val="15"/>
              </w:rPr>
              <w:t>40.00</w:t>
            </w:r>
          </w:p>
        </w:tc>
        <w:tc>
          <w:tcPr>
            <w:tcW w:w="874" w:type="dxa"/>
            <w:tcBorders>
              <w:top w:val="nil"/>
              <w:left w:val="nil"/>
              <w:bottom w:val="single" w:sz="4" w:space="0" w:color="auto"/>
              <w:right w:val="nil"/>
            </w:tcBorders>
            <w:shd w:val="clear" w:color="auto" w:fill="auto"/>
            <w:noWrap/>
            <w:vAlign w:val="center"/>
          </w:tcPr>
          <w:p w14:paraId="35275658" w14:textId="77777777" w:rsidR="0025680F" w:rsidRDefault="00D201ED">
            <w:pPr>
              <w:snapToGrid w:val="0"/>
              <w:jc w:val="center"/>
              <w:rPr>
                <w:bCs/>
                <w:sz w:val="15"/>
                <w:szCs w:val="15"/>
              </w:rPr>
            </w:pPr>
            <w:r>
              <w:rPr>
                <w:rFonts w:hint="eastAsia"/>
                <w:bCs/>
                <w:sz w:val="15"/>
                <w:szCs w:val="15"/>
              </w:rPr>
              <w:t>-30.00</w:t>
            </w:r>
          </w:p>
        </w:tc>
        <w:tc>
          <w:tcPr>
            <w:tcW w:w="874" w:type="dxa"/>
            <w:tcBorders>
              <w:top w:val="nil"/>
              <w:left w:val="nil"/>
              <w:bottom w:val="single" w:sz="4" w:space="0" w:color="auto"/>
              <w:right w:val="nil"/>
            </w:tcBorders>
            <w:shd w:val="clear" w:color="auto" w:fill="auto"/>
            <w:noWrap/>
            <w:vAlign w:val="center"/>
          </w:tcPr>
          <w:p w14:paraId="28F6523F" w14:textId="77777777" w:rsidR="0025680F" w:rsidRDefault="00D201ED">
            <w:pPr>
              <w:snapToGrid w:val="0"/>
              <w:jc w:val="center"/>
              <w:rPr>
                <w:bCs/>
                <w:sz w:val="15"/>
                <w:szCs w:val="15"/>
              </w:rPr>
            </w:pPr>
            <w:r>
              <w:rPr>
                <w:rFonts w:hint="eastAsia"/>
                <w:bCs/>
                <w:sz w:val="15"/>
                <w:szCs w:val="15"/>
              </w:rPr>
              <w:t>70.00</w:t>
            </w:r>
          </w:p>
        </w:tc>
        <w:tc>
          <w:tcPr>
            <w:tcW w:w="754" w:type="dxa"/>
            <w:tcBorders>
              <w:top w:val="nil"/>
              <w:left w:val="nil"/>
              <w:bottom w:val="single" w:sz="4" w:space="0" w:color="auto"/>
              <w:right w:val="nil"/>
            </w:tcBorders>
            <w:shd w:val="clear" w:color="auto" w:fill="auto"/>
            <w:noWrap/>
            <w:vAlign w:val="center"/>
          </w:tcPr>
          <w:p w14:paraId="15F56201" w14:textId="77777777" w:rsidR="0025680F" w:rsidRDefault="00D201ED">
            <w:pPr>
              <w:snapToGrid w:val="0"/>
              <w:jc w:val="center"/>
              <w:rPr>
                <w:bCs/>
                <w:sz w:val="15"/>
                <w:szCs w:val="15"/>
              </w:rPr>
            </w:pPr>
            <w:r>
              <w:rPr>
                <w:rFonts w:hint="eastAsia"/>
                <w:bCs/>
                <w:sz w:val="15"/>
                <w:szCs w:val="15"/>
              </w:rPr>
              <w:t>0.00</w:t>
            </w:r>
          </w:p>
        </w:tc>
        <w:tc>
          <w:tcPr>
            <w:tcW w:w="754" w:type="dxa"/>
            <w:tcBorders>
              <w:top w:val="nil"/>
              <w:left w:val="nil"/>
              <w:bottom w:val="single" w:sz="4" w:space="0" w:color="auto"/>
              <w:right w:val="nil"/>
            </w:tcBorders>
            <w:shd w:val="clear" w:color="auto" w:fill="auto"/>
            <w:noWrap/>
            <w:vAlign w:val="center"/>
          </w:tcPr>
          <w:p w14:paraId="2BDE5DE0" w14:textId="77777777" w:rsidR="0025680F" w:rsidRDefault="00D201ED">
            <w:pPr>
              <w:snapToGrid w:val="0"/>
              <w:jc w:val="center"/>
              <w:rPr>
                <w:bCs/>
                <w:sz w:val="15"/>
                <w:szCs w:val="15"/>
              </w:rPr>
            </w:pPr>
            <w:r>
              <w:rPr>
                <w:rFonts w:hint="eastAsia"/>
                <w:bCs/>
                <w:sz w:val="15"/>
                <w:szCs w:val="15"/>
              </w:rPr>
              <w:t>0.00</w:t>
            </w:r>
          </w:p>
        </w:tc>
        <w:tc>
          <w:tcPr>
            <w:tcW w:w="874" w:type="dxa"/>
            <w:tcBorders>
              <w:top w:val="nil"/>
              <w:left w:val="nil"/>
              <w:bottom w:val="single" w:sz="4" w:space="0" w:color="auto"/>
              <w:right w:val="nil"/>
            </w:tcBorders>
            <w:shd w:val="clear" w:color="auto" w:fill="auto"/>
            <w:noWrap/>
            <w:vAlign w:val="center"/>
          </w:tcPr>
          <w:p w14:paraId="58962138" w14:textId="77777777" w:rsidR="0025680F" w:rsidRDefault="00D201ED">
            <w:pPr>
              <w:snapToGrid w:val="0"/>
              <w:jc w:val="center"/>
              <w:rPr>
                <w:bCs/>
                <w:sz w:val="15"/>
                <w:szCs w:val="15"/>
              </w:rPr>
            </w:pPr>
            <w:r>
              <w:rPr>
                <w:rFonts w:hint="eastAsia"/>
                <w:bCs/>
                <w:sz w:val="15"/>
                <w:szCs w:val="15"/>
              </w:rPr>
              <w:t>-20.00</w:t>
            </w:r>
          </w:p>
        </w:tc>
        <w:tc>
          <w:tcPr>
            <w:tcW w:w="754" w:type="dxa"/>
            <w:tcBorders>
              <w:top w:val="nil"/>
              <w:left w:val="nil"/>
              <w:bottom w:val="single" w:sz="4" w:space="0" w:color="auto"/>
              <w:right w:val="nil"/>
            </w:tcBorders>
            <w:shd w:val="clear" w:color="auto" w:fill="auto"/>
            <w:noWrap/>
            <w:vAlign w:val="center"/>
          </w:tcPr>
          <w:p w14:paraId="4AD72A47" w14:textId="77777777" w:rsidR="0025680F" w:rsidRDefault="00D201ED">
            <w:pPr>
              <w:snapToGrid w:val="0"/>
              <w:jc w:val="center"/>
              <w:rPr>
                <w:bCs/>
                <w:sz w:val="15"/>
                <w:szCs w:val="15"/>
              </w:rPr>
            </w:pPr>
            <w:r>
              <w:rPr>
                <w:rFonts w:hint="eastAsia"/>
                <w:bCs/>
                <w:sz w:val="15"/>
                <w:szCs w:val="15"/>
              </w:rPr>
              <w:t>30.00</w:t>
            </w:r>
          </w:p>
        </w:tc>
        <w:tc>
          <w:tcPr>
            <w:tcW w:w="754" w:type="dxa"/>
            <w:tcBorders>
              <w:top w:val="nil"/>
              <w:left w:val="nil"/>
              <w:bottom w:val="single" w:sz="4" w:space="0" w:color="auto"/>
              <w:right w:val="nil"/>
            </w:tcBorders>
            <w:shd w:val="clear" w:color="auto" w:fill="auto"/>
            <w:noWrap/>
            <w:vAlign w:val="center"/>
          </w:tcPr>
          <w:p w14:paraId="5609BA57" w14:textId="77777777" w:rsidR="0025680F" w:rsidRDefault="00D201ED">
            <w:pPr>
              <w:snapToGrid w:val="0"/>
              <w:jc w:val="center"/>
              <w:rPr>
                <w:bCs/>
                <w:sz w:val="15"/>
                <w:szCs w:val="15"/>
              </w:rPr>
            </w:pPr>
            <w:r>
              <w:rPr>
                <w:rFonts w:hint="eastAsia"/>
                <w:bCs/>
                <w:sz w:val="15"/>
                <w:szCs w:val="15"/>
              </w:rPr>
              <w:t>1.00</w:t>
            </w:r>
          </w:p>
        </w:tc>
        <w:tc>
          <w:tcPr>
            <w:tcW w:w="748" w:type="dxa"/>
            <w:tcBorders>
              <w:top w:val="nil"/>
              <w:left w:val="nil"/>
              <w:bottom w:val="single" w:sz="4" w:space="0" w:color="auto"/>
              <w:right w:val="nil"/>
            </w:tcBorders>
            <w:shd w:val="clear" w:color="auto" w:fill="auto"/>
            <w:noWrap/>
            <w:vAlign w:val="center"/>
          </w:tcPr>
          <w:p w14:paraId="00568605" w14:textId="77777777" w:rsidR="0025680F" w:rsidRDefault="00D201ED">
            <w:pPr>
              <w:snapToGrid w:val="0"/>
              <w:jc w:val="center"/>
              <w:rPr>
                <w:bCs/>
                <w:sz w:val="15"/>
                <w:szCs w:val="15"/>
              </w:rPr>
            </w:pPr>
            <w:r>
              <w:rPr>
                <w:rFonts w:hint="eastAsia"/>
                <w:bCs/>
                <w:sz w:val="15"/>
                <w:szCs w:val="15"/>
              </w:rPr>
              <w:t>0.80</w:t>
            </w:r>
          </w:p>
        </w:tc>
        <w:tc>
          <w:tcPr>
            <w:tcW w:w="825" w:type="dxa"/>
            <w:tcBorders>
              <w:top w:val="nil"/>
              <w:left w:val="nil"/>
              <w:bottom w:val="single" w:sz="4" w:space="0" w:color="auto"/>
              <w:right w:val="nil"/>
            </w:tcBorders>
            <w:shd w:val="clear" w:color="auto" w:fill="auto"/>
            <w:noWrap/>
            <w:vAlign w:val="center"/>
          </w:tcPr>
          <w:p w14:paraId="5373D929" w14:textId="77777777" w:rsidR="0025680F" w:rsidRDefault="00D201ED">
            <w:pPr>
              <w:snapToGrid w:val="0"/>
              <w:jc w:val="center"/>
              <w:rPr>
                <w:bCs/>
                <w:sz w:val="15"/>
                <w:szCs w:val="15"/>
              </w:rPr>
            </w:pPr>
            <w:r>
              <w:rPr>
                <w:rFonts w:hint="eastAsia"/>
                <w:bCs/>
                <w:sz w:val="15"/>
                <w:szCs w:val="15"/>
              </w:rPr>
              <w:t>26.60</w:t>
            </w:r>
          </w:p>
        </w:tc>
      </w:tr>
    </w:tbl>
    <w:p w14:paraId="688EF88C" w14:textId="77777777" w:rsidR="0025680F" w:rsidRDefault="00D201ED">
      <w:pPr>
        <w:rPr>
          <w:sz w:val="15"/>
          <w:szCs w:val="15"/>
        </w:rPr>
      </w:pPr>
      <w:r>
        <w:rPr>
          <w:rFonts w:hint="eastAsia"/>
          <w:sz w:val="15"/>
          <w:szCs w:val="15"/>
        </w:rPr>
        <w:t>资料来源：北京交通大学交通舆情研究中心危机事件库</w:t>
      </w:r>
    </w:p>
    <w:p w14:paraId="06A82B1C" w14:textId="77777777" w:rsidR="0025680F" w:rsidRDefault="00D201ED">
      <w:r>
        <w:rPr>
          <w:rFonts w:hint="eastAsia"/>
          <w:noProof/>
        </w:rPr>
        <w:drawing>
          <wp:inline distT="0" distB="0" distL="114300" distR="114300">
            <wp:extent cx="5260975" cy="2919095"/>
            <wp:effectExtent l="0" t="0" r="5715" b="63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7"/>
                    <a:stretch>
                      <a:fillRect/>
                    </a:stretch>
                  </pic:blipFill>
                  <pic:spPr>
                    <a:xfrm>
                      <a:off x="0" y="0"/>
                      <a:ext cx="5260975" cy="2919095"/>
                    </a:xfrm>
                    <a:prstGeom prst="rect">
                      <a:avLst/>
                    </a:prstGeom>
                    <a:noFill/>
                    <a:ln>
                      <a:noFill/>
                    </a:ln>
                  </pic:spPr>
                </pic:pic>
              </a:graphicData>
            </a:graphic>
          </wp:inline>
        </w:drawing>
      </w:r>
    </w:p>
    <w:p w14:paraId="7CAB4BA6" w14:textId="77777777" w:rsidR="0025680F" w:rsidRDefault="00D201ED">
      <w:pPr>
        <w:pStyle w:val="a3"/>
        <w:ind w:firstLineChars="200" w:firstLine="480"/>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t>1</w:t>
      </w:r>
      <w:r>
        <w:rPr>
          <w:rFonts w:ascii="方正仿宋_GB2312" w:eastAsia="方正仿宋_GB2312" w:hAnsi="方正仿宋_GB2312" w:hint="eastAsia"/>
        </w:rPr>
        <w:t>铁路系统危机应对能力雷达图</w:t>
      </w:r>
    </w:p>
    <w:p w14:paraId="05FF9E71" w14:textId="77777777" w:rsidR="0025680F" w:rsidRDefault="00D201ED">
      <w:pPr>
        <w:rPr>
          <w:sz w:val="15"/>
          <w:szCs w:val="15"/>
        </w:rPr>
      </w:pPr>
      <w:r>
        <w:rPr>
          <w:rFonts w:hint="eastAsia"/>
          <w:sz w:val="15"/>
          <w:szCs w:val="15"/>
        </w:rPr>
        <w:t>资料来源：北京交通大学交通舆情研究中心危机事件库</w:t>
      </w:r>
    </w:p>
    <w:p w14:paraId="4CC3DC32" w14:textId="77777777" w:rsidR="0025680F" w:rsidRDefault="00D201ED">
      <w:pPr>
        <w:ind w:firstLineChars="200" w:firstLine="480"/>
      </w:pPr>
      <w:r>
        <w:rPr>
          <w:rFonts w:hint="eastAsia"/>
        </w:rPr>
        <w:t>上海铁路局以</w:t>
      </w:r>
      <w:r>
        <w:rPr>
          <w:rFonts w:hint="eastAsia"/>
        </w:rPr>
        <w:t>49.60</w:t>
      </w:r>
      <w:r>
        <w:rPr>
          <w:rFonts w:hint="eastAsia"/>
        </w:rPr>
        <w:t>分的综合得分位居榜首，其在发声时效性和主体专业性等基础指标方面表现优异，尤其在响应速度和信息准确性上显著领先，但在情感共鸣等价值层面存在明显短板。该局在“杭州东站男子闯入轨道致列车晚点”“上海虹桥火车站女子坠楼”以及“随车机械师高架桥排查故障时被列车撞击身亡”等多个突发事件中，均在事发</w:t>
      </w:r>
      <w:r>
        <w:rPr>
          <w:rFonts w:hint="eastAsia"/>
        </w:rPr>
        <w:t>24</w:t>
      </w:r>
      <w:r>
        <w:rPr>
          <w:rFonts w:hint="eastAsia"/>
        </w:rPr>
        <w:t>小时内通过官方渠道发布权威信息，展现出高效的应急响应和信息公开机制。然而，其在情感共鸣、人文关怀等价值维度存在明显不足，回应多聚焦于事件经过与处理程序的说明，缺乏对受影响群体的情绪安抚和共情表达，这种</w:t>
      </w:r>
      <w:r>
        <w:rPr>
          <w:rFonts w:hint="eastAsia"/>
        </w:rPr>
        <w:t>侧重于事实澄清而忽视情感价值的沟通策略，在一定程度上削弱了公众认同感，也影响了危机沟通的整体效能。</w:t>
      </w:r>
    </w:p>
    <w:p w14:paraId="145123F6" w14:textId="77777777" w:rsidR="0025680F" w:rsidRDefault="00D201ED">
      <w:pPr>
        <w:ind w:firstLineChars="200" w:firstLine="480"/>
      </w:pPr>
      <w:r>
        <w:rPr>
          <w:rFonts w:hint="eastAsia"/>
        </w:rPr>
        <w:t>广州铁路局以</w:t>
      </w:r>
      <w:r>
        <w:rPr>
          <w:rFonts w:hint="eastAsia"/>
        </w:rPr>
        <w:t>45.98</w:t>
      </w:r>
      <w:r>
        <w:rPr>
          <w:rFonts w:hint="eastAsia"/>
        </w:rPr>
        <w:t>分的综合成绩位列前茅，其全年处置危机事件数量最多</w:t>
      </w:r>
      <w:r>
        <w:rPr>
          <w:rFonts w:hint="eastAsia"/>
        </w:rPr>
        <w:lastRenderedPageBreak/>
        <w:t>（共</w:t>
      </w:r>
      <w:r>
        <w:rPr>
          <w:rFonts w:hint="eastAsia"/>
        </w:rPr>
        <w:t>11</w:t>
      </w:r>
      <w:r>
        <w:rPr>
          <w:rFonts w:hint="eastAsia"/>
        </w:rPr>
        <w:t>起），显示出较强的常态化运营和应急管理能力。该局在响应速度方面和事实澄清方面表现尤其突出，超过半数事件在事发当天即完成首次发声，特别是在“京广高铁汨罗东—株洲西区间设备故障致部分列车晚点”事件中，仅在</w:t>
      </w:r>
      <w:r>
        <w:rPr>
          <w:rFonts w:hint="eastAsia"/>
        </w:rPr>
        <w:t>1</w:t>
      </w:r>
      <w:r>
        <w:rPr>
          <w:rFonts w:hint="eastAsia"/>
        </w:rPr>
        <w:t>小时</w:t>
      </w:r>
      <w:r>
        <w:rPr>
          <w:rFonts w:hint="eastAsia"/>
        </w:rPr>
        <w:t>11</w:t>
      </w:r>
      <w:r>
        <w:rPr>
          <w:rFonts w:hint="eastAsia"/>
        </w:rPr>
        <w:t>分钟后便作出回应，充分体现其高效的舆情监测与响应机制。然而，值得关注的是，在该局处理的</w:t>
      </w:r>
      <w:r>
        <w:rPr>
          <w:rFonts w:hint="eastAsia"/>
        </w:rPr>
        <w:t>11</w:t>
      </w:r>
      <w:r>
        <w:rPr>
          <w:rFonts w:hint="eastAsia"/>
        </w:rPr>
        <w:t>起危机事件中，有</w:t>
      </w:r>
      <w:r>
        <w:rPr>
          <w:rFonts w:hint="eastAsia"/>
        </w:rPr>
        <w:t>10</w:t>
      </w:r>
      <w:r>
        <w:rPr>
          <w:rFonts w:hint="eastAsia"/>
        </w:rPr>
        <w:t>起引发了不同程</w:t>
      </w:r>
      <w:r>
        <w:rPr>
          <w:rFonts w:hint="eastAsia"/>
        </w:rPr>
        <w:t>度的次生舆情，暴露出其在情绪疏导、责任认定和舆论闭环管理等方面存在系统短板。其在回应中往往未能有效回应公众情感诉求与问责预期，反映出沟通策略中价值维度的缺失，亟须加强人文关怀与公众情绪引导能力。后续需进一步加强回应中的人文关怀与价值沟通，从而提升舆情控制的整体效能。</w:t>
      </w:r>
    </w:p>
    <w:p w14:paraId="61E379D8" w14:textId="77777777" w:rsidR="0025680F" w:rsidRDefault="00D201ED">
      <w:pPr>
        <w:ind w:firstLineChars="200" w:firstLine="480"/>
      </w:pPr>
      <w:r>
        <w:rPr>
          <w:rFonts w:hint="eastAsia"/>
        </w:rPr>
        <w:t>南宁铁路局虽以</w:t>
      </w:r>
      <w:r>
        <w:rPr>
          <w:rFonts w:hint="eastAsia"/>
        </w:rPr>
        <w:t>37.60</w:t>
      </w:r>
      <w:r>
        <w:rPr>
          <w:rFonts w:hint="eastAsia"/>
        </w:rPr>
        <w:t>分排名中上，其在发声时间、发布主体、发布渠道得分并不突出，但凭借在事实澄清、道歉担责和情感共鸣等核心策略上的卓越表现，获得了不错的次生舆情控制效果，这充分验证了价值沟通在危机应对中的关键作用。具体而言，在“高铁餐服员擅自</w:t>
      </w:r>
      <w:r>
        <w:rPr>
          <w:rFonts w:hint="eastAsia"/>
        </w:rPr>
        <w:t>涨价盒饭销售”事件中，该局在事发后</w:t>
      </w:r>
      <w:r>
        <w:rPr>
          <w:rFonts w:hint="eastAsia"/>
        </w:rPr>
        <w:t>20</w:t>
      </w:r>
      <w:r>
        <w:rPr>
          <w:rFonts w:hint="eastAsia"/>
        </w:rPr>
        <w:t>小时内迅速回应，不仅明确承认“个别违规”事实，还立即采取“道歉</w:t>
      </w:r>
      <w:r>
        <w:rPr>
          <w:rFonts w:hint="eastAsia"/>
        </w:rPr>
        <w:t>+</w:t>
      </w:r>
      <w:r>
        <w:rPr>
          <w:rFonts w:hint="eastAsia"/>
        </w:rPr>
        <w:t>退款”的实际行动，体现了责任担当。在“渝昆高铁架桥机倒塌事故”处置中，虽然作为项目业主单位，该局除及时通报外，后期通过“承诺整改</w:t>
      </w:r>
      <w:r>
        <w:rPr>
          <w:rFonts w:hint="eastAsia"/>
        </w:rPr>
        <w:t>+</w:t>
      </w:r>
      <w:r>
        <w:rPr>
          <w:rFonts w:hint="eastAsia"/>
        </w:rPr>
        <w:t>优化预警机制”等方式传递出组织诚信与改进意愿。更值得肯定的是，在多次事件回应中，该局能够超越简单的事实澄清，主动运用“全力清淤消杀”等具象化表述传递人文关怀，这种将事实回应与情感价值相结合的策略，有效缓解了公众情绪，使其在次生舆情控制方面表现突出，充分验证了价值沟通在危机应对中的</w:t>
      </w:r>
      <w:r>
        <w:rPr>
          <w:rFonts w:hint="eastAsia"/>
        </w:rPr>
        <w:t>关键作用。</w:t>
      </w:r>
    </w:p>
    <w:p w14:paraId="704E755D" w14:textId="77777777" w:rsidR="0025680F" w:rsidRDefault="00D201ED">
      <w:pPr>
        <w:ind w:firstLineChars="200" w:firstLine="480"/>
      </w:pPr>
      <w:r>
        <w:rPr>
          <w:rFonts w:hint="eastAsia"/>
        </w:rPr>
        <w:t>相比之下，排名靠后的郑州铁路局（</w:t>
      </w:r>
      <w:r>
        <w:rPr>
          <w:rFonts w:hint="eastAsia"/>
        </w:rPr>
        <w:t>26.60</w:t>
      </w:r>
      <w:r>
        <w:rPr>
          <w:rFonts w:hint="eastAsia"/>
        </w:rPr>
        <w:t>分）和北京铁路局（</w:t>
      </w:r>
      <w:r>
        <w:rPr>
          <w:rFonts w:hint="eastAsia"/>
        </w:rPr>
        <w:t>23.03</w:t>
      </w:r>
      <w:r>
        <w:rPr>
          <w:rFonts w:hint="eastAsia"/>
        </w:rPr>
        <w:t>分）在道歉担责和情感共鸣上均未得分，直接导致公众评价较低且屡屡引发次生舆情。北京铁路局在“</w:t>
      </w:r>
      <w:r>
        <w:rPr>
          <w:rFonts w:hint="eastAsia"/>
        </w:rPr>
        <w:t>G5</w:t>
      </w:r>
      <w:r>
        <w:rPr>
          <w:rFonts w:hint="eastAsia"/>
        </w:rPr>
        <w:t>高铁外籍旅客不戴口罩”事件中，仅通过内部渠道进行口头解释，强调管理困境，却未对外公开道歉或表达整改决心。这种回避责任的做法引发公众对“区别对待中外乘客”的质疑，导致舆情进一步发酵。同样，郑州铁路局在“高铁二等座旅客争执”事件中，回应仅机械重申铁路规章，完全未对乘客情绪进行安抚，也未展现任何人文关怀。其冷硬的回应方式被批评为“官僚主义应</w:t>
      </w:r>
      <w:r>
        <w:rPr>
          <w:rFonts w:hint="eastAsia"/>
        </w:rPr>
        <w:t>对”，不仅未能平息事件，反而引发公众对铁路服务理念的广泛批评。</w:t>
      </w:r>
    </w:p>
    <w:p w14:paraId="45106775" w14:textId="77777777" w:rsidR="0025680F" w:rsidRDefault="00D201ED">
      <w:pPr>
        <w:ind w:firstLineChars="200" w:firstLine="480"/>
      </w:pPr>
      <w:r>
        <w:rPr>
          <w:rFonts w:hint="eastAsia"/>
        </w:rPr>
        <w:t>整体而言，我国铁路系统在危机应对中呈现出“基础操作良好、价值沟通不足”的显著特征。绝大多数铁路局已建立起快速的响应机制和事实澄清能力，但在情感共鸣、责任承担和公众关系修复等方面仍普遍薄弱。未来，铁路系统应在保持响应效率的基础上，重点加强舆情回应中的人文关怀、情感表达与信任建设，推动危机管理从“事理澄清”向“事心双解”转型，从而实现更高水平的公众沟通与舆情治理效能。</w:t>
      </w:r>
    </w:p>
    <w:p w14:paraId="7E393F0D" w14:textId="77777777" w:rsidR="0025680F" w:rsidRDefault="00D201ED">
      <w:pPr>
        <w:pStyle w:val="3"/>
        <w:numPr>
          <w:ilvl w:val="0"/>
          <w:numId w:val="0"/>
        </w:numPr>
      </w:pPr>
      <w:r>
        <w:rPr>
          <w:rFonts w:hint="eastAsia"/>
        </w:rPr>
        <w:lastRenderedPageBreak/>
        <w:t>五、</w:t>
      </w:r>
      <w:r>
        <w:rPr>
          <w:rFonts w:hint="eastAsia"/>
        </w:rPr>
        <w:t>航空公司危机应对能力排行</w:t>
      </w:r>
    </w:p>
    <w:p w14:paraId="56CC189E" w14:textId="77777777" w:rsidR="0025680F" w:rsidRDefault="00D201ED">
      <w:pPr>
        <w:ind w:firstLineChars="200" w:firstLine="480"/>
      </w:pPr>
      <w:r>
        <w:rPr>
          <w:rFonts w:hint="eastAsia"/>
        </w:rPr>
        <w:t>我国航空公司危机应对能力呈现多层级分布，排名前六的</w:t>
      </w:r>
      <w:r>
        <w:rPr>
          <w:rFonts w:hint="eastAsia"/>
        </w:rPr>
        <w:t>航空公司为：中国东方航空、中国国际航空、中国南方航空、国泰航空、中国商用飞机有限责任公司和四川航空。这些企业普遍在响应时效、信息透明度或人文关怀等关键指标上表现稳健，尤其在事实澄清与舆情控制方面优势明显，体现出系统化的危机管理机制与沟通策略。</w:t>
      </w:r>
    </w:p>
    <w:p w14:paraId="4C53C6B0" w14:textId="77777777" w:rsidR="0025680F" w:rsidRDefault="00D201ED">
      <w:pPr>
        <w:pStyle w:val="a3"/>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 xml:space="preserve">3 </w:t>
      </w:r>
      <w:r>
        <w:rPr>
          <w:rFonts w:ascii="方正仿宋_GB2312" w:eastAsia="方正仿宋_GB2312" w:hAnsi="方正仿宋_GB2312" w:hint="eastAsia"/>
        </w:rPr>
        <w:t>航空公司危机应对能力排行（保留前六名）</w:t>
      </w:r>
    </w:p>
    <w:tbl>
      <w:tblPr>
        <w:tblW w:w="10868" w:type="dxa"/>
        <w:jc w:val="center"/>
        <w:tblBorders>
          <w:top w:val="single" w:sz="4" w:space="0" w:color="auto"/>
          <w:bottom w:val="single" w:sz="4" w:space="0" w:color="auto"/>
        </w:tblBorders>
        <w:tblLayout w:type="fixed"/>
        <w:tblCellMar>
          <w:top w:w="40" w:type="dxa"/>
          <w:left w:w="64" w:type="dxa"/>
          <w:bottom w:w="40" w:type="dxa"/>
          <w:right w:w="64" w:type="dxa"/>
        </w:tblCellMar>
        <w:tblLook w:val="04A0" w:firstRow="1" w:lastRow="0" w:firstColumn="1" w:lastColumn="0" w:noHBand="0" w:noVBand="1"/>
      </w:tblPr>
      <w:tblGrid>
        <w:gridCol w:w="1077"/>
        <w:gridCol w:w="805"/>
        <w:gridCol w:w="752"/>
        <w:gridCol w:w="846"/>
        <w:gridCol w:w="816"/>
        <w:gridCol w:w="831"/>
        <w:gridCol w:w="831"/>
        <w:gridCol w:w="831"/>
        <w:gridCol w:w="831"/>
        <w:gridCol w:w="831"/>
        <w:gridCol w:w="831"/>
        <w:gridCol w:w="765"/>
        <w:gridCol w:w="821"/>
      </w:tblGrid>
      <w:tr w:rsidR="0025680F" w14:paraId="3E224627" w14:textId="77777777">
        <w:trPr>
          <w:tblHeader/>
          <w:jc w:val="center"/>
        </w:trPr>
        <w:tc>
          <w:tcPr>
            <w:tcW w:w="1077" w:type="dxa"/>
            <w:tcBorders>
              <w:top w:val="single" w:sz="4" w:space="0" w:color="auto"/>
              <w:left w:val="nil"/>
              <w:bottom w:val="single" w:sz="4" w:space="0" w:color="auto"/>
              <w:right w:val="nil"/>
            </w:tcBorders>
            <w:shd w:val="clear" w:color="auto" w:fill="auto"/>
            <w:noWrap/>
            <w:vAlign w:val="center"/>
          </w:tcPr>
          <w:p w14:paraId="5816E3AF" w14:textId="77777777" w:rsidR="0025680F" w:rsidRDefault="00D201ED">
            <w:pPr>
              <w:snapToGrid w:val="0"/>
              <w:jc w:val="center"/>
              <w:rPr>
                <w:bCs/>
                <w:sz w:val="15"/>
                <w:szCs w:val="15"/>
              </w:rPr>
            </w:pPr>
            <w:r>
              <w:rPr>
                <w:rFonts w:hint="eastAsia"/>
                <w:bCs/>
                <w:sz w:val="15"/>
                <w:szCs w:val="15"/>
              </w:rPr>
              <w:t>涉事主体</w:t>
            </w:r>
          </w:p>
        </w:tc>
        <w:tc>
          <w:tcPr>
            <w:tcW w:w="805" w:type="dxa"/>
            <w:tcBorders>
              <w:top w:val="single" w:sz="4" w:space="0" w:color="auto"/>
              <w:left w:val="nil"/>
              <w:bottom w:val="single" w:sz="4" w:space="0" w:color="auto"/>
              <w:right w:val="nil"/>
            </w:tcBorders>
            <w:shd w:val="clear" w:color="auto" w:fill="auto"/>
            <w:noWrap/>
            <w:vAlign w:val="center"/>
          </w:tcPr>
          <w:p w14:paraId="469B1A87" w14:textId="77777777" w:rsidR="0025680F" w:rsidRDefault="00D201ED">
            <w:pPr>
              <w:snapToGrid w:val="0"/>
              <w:jc w:val="center"/>
              <w:rPr>
                <w:bCs/>
                <w:sz w:val="15"/>
                <w:szCs w:val="15"/>
              </w:rPr>
            </w:pPr>
            <w:r>
              <w:rPr>
                <w:rFonts w:hint="eastAsia"/>
                <w:bCs/>
                <w:sz w:val="15"/>
                <w:szCs w:val="15"/>
              </w:rPr>
              <w:t>发声时间</w:t>
            </w:r>
          </w:p>
        </w:tc>
        <w:tc>
          <w:tcPr>
            <w:tcW w:w="752" w:type="dxa"/>
            <w:tcBorders>
              <w:top w:val="single" w:sz="4" w:space="0" w:color="auto"/>
              <w:left w:val="nil"/>
              <w:bottom w:val="single" w:sz="4" w:space="0" w:color="auto"/>
              <w:right w:val="nil"/>
            </w:tcBorders>
            <w:shd w:val="clear" w:color="auto" w:fill="auto"/>
            <w:noWrap/>
            <w:vAlign w:val="center"/>
          </w:tcPr>
          <w:p w14:paraId="5BF8B1F9" w14:textId="77777777" w:rsidR="0025680F" w:rsidRDefault="00D201ED">
            <w:pPr>
              <w:snapToGrid w:val="0"/>
              <w:jc w:val="center"/>
              <w:rPr>
                <w:bCs/>
                <w:sz w:val="15"/>
                <w:szCs w:val="15"/>
              </w:rPr>
            </w:pPr>
            <w:r>
              <w:rPr>
                <w:rFonts w:hint="eastAsia"/>
                <w:bCs/>
                <w:sz w:val="15"/>
                <w:szCs w:val="15"/>
              </w:rPr>
              <w:t>发布主体</w:t>
            </w:r>
          </w:p>
        </w:tc>
        <w:tc>
          <w:tcPr>
            <w:tcW w:w="846" w:type="dxa"/>
            <w:tcBorders>
              <w:top w:val="single" w:sz="4" w:space="0" w:color="auto"/>
              <w:left w:val="nil"/>
              <w:bottom w:val="single" w:sz="4" w:space="0" w:color="auto"/>
              <w:right w:val="nil"/>
            </w:tcBorders>
            <w:shd w:val="clear" w:color="auto" w:fill="auto"/>
            <w:noWrap/>
            <w:vAlign w:val="center"/>
          </w:tcPr>
          <w:p w14:paraId="0A8A5D92" w14:textId="77777777" w:rsidR="0025680F" w:rsidRDefault="00D201ED">
            <w:pPr>
              <w:snapToGrid w:val="0"/>
              <w:jc w:val="center"/>
              <w:rPr>
                <w:bCs/>
                <w:sz w:val="15"/>
                <w:szCs w:val="15"/>
              </w:rPr>
            </w:pPr>
            <w:r>
              <w:rPr>
                <w:rFonts w:hint="eastAsia"/>
                <w:bCs/>
                <w:sz w:val="15"/>
                <w:szCs w:val="15"/>
              </w:rPr>
              <w:t>发布渠道</w:t>
            </w:r>
          </w:p>
        </w:tc>
        <w:tc>
          <w:tcPr>
            <w:tcW w:w="816" w:type="dxa"/>
            <w:tcBorders>
              <w:top w:val="single" w:sz="4" w:space="0" w:color="auto"/>
              <w:left w:val="nil"/>
              <w:bottom w:val="single" w:sz="4" w:space="0" w:color="auto"/>
              <w:right w:val="nil"/>
            </w:tcBorders>
            <w:shd w:val="clear" w:color="auto" w:fill="auto"/>
            <w:noWrap/>
            <w:vAlign w:val="center"/>
          </w:tcPr>
          <w:p w14:paraId="3AB0756F" w14:textId="77777777" w:rsidR="0025680F" w:rsidRDefault="00D201ED">
            <w:pPr>
              <w:snapToGrid w:val="0"/>
              <w:jc w:val="center"/>
              <w:rPr>
                <w:bCs/>
                <w:sz w:val="15"/>
                <w:szCs w:val="15"/>
              </w:rPr>
            </w:pPr>
            <w:r>
              <w:rPr>
                <w:rFonts w:hint="eastAsia"/>
                <w:bCs/>
                <w:sz w:val="15"/>
                <w:szCs w:val="15"/>
              </w:rPr>
              <w:t>公众态度</w:t>
            </w:r>
          </w:p>
        </w:tc>
        <w:tc>
          <w:tcPr>
            <w:tcW w:w="831" w:type="dxa"/>
            <w:tcBorders>
              <w:top w:val="single" w:sz="4" w:space="0" w:color="auto"/>
              <w:left w:val="nil"/>
              <w:bottom w:val="single" w:sz="4" w:space="0" w:color="auto"/>
              <w:right w:val="nil"/>
            </w:tcBorders>
            <w:shd w:val="clear" w:color="auto" w:fill="auto"/>
            <w:noWrap/>
            <w:vAlign w:val="center"/>
          </w:tcPr>
          <w:p w14:paraId="233E1166" w14:textId="77777777" w:rsidR="0025680F" w:rsidRDefault="00D201ED">
            <w:pPr>
              <w:snapToGrid w:val="0"/>
              <w:jc w:val="center"/>
              <w:rPr>
                <w:bCs/>
                <w:sz w:val="15"/>
                <w:szCs w:val="15"/>
              </w:rPr>
            </w:pPr>
            <w:r>
              <w:rPr>
                <w:rFonts w:hint="eastAsia"/>
                <w:bCs/>
                <w:sz w:val="15"/>
                <w:szCs w:val="15"/>
              </w:rPr>
              <w:t>事实澄清</w:t>
            </w:r>
          </w:p>
        </w:tc>
        <w:tc>
          <w:tcPr>
            <w:tcW w:w="831" w:type="dxa"/>
            <w:tcBorders>
              <w:top w:val="single" w:sz="4" w:space="0" w:color="auto"/>
              <w:left w:val="nil"/>
              <w:bottom w:val="single" w:sz="4" w:space="0" w:color="auto"/>
              <w:right w:val="nil"/>
            </w:tcBorders>
            <w:shd w:val="clear" w:color="auto" w:fill="auto"/>
            <w:noWrap/>
            <w:vAlign w:val="center"/>
          </w:tcPr>
          <w:p w14:paraId="06BE2E63" w14:textId="77777777" w:rsidR="0025680F" w:rsidRDefault="00D201ED">
            <w:pPr>
              <w:snapToGrid w:val="0"/>
              <w:jc w:val="center"/>
              <w:rPr>
                <w:bCs/>
                <w:sz w:val="15"/>
                <w:szCs w:val="15"/>
              </w:rPr>
            </w:pPr>
            <w:r>
              <w:rPr>
                <w:rFonts w:hint="eastAsia"/>
                <w:bCs/>
                <w:sz w:val="15"/>
                <w:szCs w:val="15"/>
              </w:rPr>
              <w:t>道歉担责</w:t>
            </w:r>
          </w:p>
        </w:tc>
        <w:tc>
          <w:tcPr>
            <w:tcW w:w="831" w:type="dxa"/>
            <w:tcBorders>
              <w:top w:val="single" w:sz="4" w:space="0" w:color="auto"/>
              <w:left w:val="nil"/>
              <w:bottom w:val="single" w:sz="4" w:space="0" w:color="auto"/>
              <w:right w:val="nil"/>
            </w:tcBorders>
            <w:shd w:val="clear" w:color="auto" w:fill="auto"/>
            <w:noWrap/>
            <w:vAlign w:val="center"/>
          </w:tcPr>
          <w:p w14:paraId="3437F782" w14:textId="77777777" w:rsidR="0025680F" w:rsidRDefault="00D201ED">
            <w:pPr>
              <w:snapToGrid w:val="0"/>
              <w:jc w:val="center"/>
              <w:rPr>
                <w:bCs/>
                <w:sz w:val="15"/>
                <w:szCs w:val="15"/>
              </w:rPr>
            </w:pPr>
            <w:r>
              <w:rPr>
                <w:rFonts w:hint="eastAsia"/>
                <w:bCs/>
                <w:sz w:val="15"/>
                <w:szCs w:val="15"/>
              </w:rPr>
              <w:t>情感共鸣</w:t>
            </w:r>
          </w:p>
        </w:tc>
        <w:tc>
          <w:tcPr>
            <w:tcW w:w="831" w:type="dxa"/>
            <w:tcBorders>
              <w:top w:val="single" w:sz="4" w:space="0" w:color="auto"/>
              <w:left w:val="nil"/>
              <w:bottom w:val="single" w:sz="4" w:space="0" w:color="auto"/>
              <w:right w:val="nil"/>
            </w:tcBorders>
            <w:shd w:val="clear" w:color="auto" w:fill="auto"/>
            <w:noWrap/>
            <w:vAlign w:val="center"/>
          </w:tcPr>
          <w:p w14:paraId="74359D04" w14:textId="77777777" w:rsidR="0025680F" w:rsidRDefault="00D201ED">
            <w:pPr>
              <w:snapToGrid w:val="0"/>
              <w:jc w:val="center"/>
              <w:rPr>
                <w:bCs/>
                <w:sz w:val="15"/>
                <w:szCs w:val="15"/>
              </w:rPr>
            </w:pPr>
            <w:r>
              <w:rPr>
                <w:rFonts w:hint="eastAsia"/>
                <w:bCs/>
                <w:sz w:val="15"/>
                <w:szCs w:val="15"/>
              </w:rPr>
              <w:t>次生舆情</w:t>
            </w:r>
          </w:p>
        </w:tc>
        <w:tc>
          <w:tcPr>
            <w:tcW w:w="831" w:type="dxa"/>
            <w:tcBorders>
              <w:top w:val="single" w:sz="4" w:space="0" w:color="auto"/>
              <w:left w:val="nil"/>
              <w:bottom w:val="single" w:sz="4" w:space="0" w:color="auto"/>
              <w:right w:val="nil"/>
            </w:tcBorders>
            <w:shd w:val="clear" w:color="auto" w:fill="auto"/>
            <w:noWrap/>
            <w:vAlign w:val="center"/>
          </w:tcPr>
          <w:p w14:paraId="69B2031C" w14:textId="77777777" w:rsidR="0025680F" w:rsidRDefault="00D201ED">
            <w:pPr>
              <w:snapToGrid w:val="0"/>
              <w:jc w:val="center"/>
              <w:rPr>
                <w:bCs/>
                <w:sz w:val="15"/>
                <w:szCs w:val="15"/>
              </w:rPr>
            </w:pPr>
            <w:r>
              <w:rPr>
                <w:rFonts w:hint="eastAsia"/>
                <w:bCs/>
                <w:sz w:val="15"/>
                <w:szCs w:val="15"/>
              </w:rPr>
              <w:t>生存时间</w:t>
            </w:r>
          </w:p>
        </w:tc>
        <w:tc>
          <w:tcPr>
            <w:tcW w:w="831" w:type="dxa"/>
            <w:tcBorders>
              <w:top w:val="single" w:sz="4" w:space="0" w:color="auto"/>
              <w:left w:val="nil"/>
              <w:bottom w:val="single" w:sz="4" w:space="0" w:color="auto"/>
              <w:right w:val="nil"/>
            </w:tcBorders>
            <w:shd w:val="clear" w:color="auto" w:fill="auto"/>
            <w:noWrap/>
            <w:vAlign w:val="center"/>
          </w:tcPr>
          <w:p w14:paraId="7D742100" w14:textId="77777777" w:rsidR="0025680F" w:rsidRDefault="00D201ED">
            <w:pPr>
              <w:snapToGrid w:val="0"/>
              <w:jc w:val="center"/>
              <w:rPr>
                <w:bCs/>
                <w:sz w:val="15"/>
                <w:szCs w:val="15"/>
              </w:rPr>
            </w:pPr>
            <w:r>
              <w:rPr>
                <w:rFonts w:hint="eastAsia"/>
                <w:bCs/>
                <w:sz w:val="15"/>
                <w:szCs w:val="15"/>
              </w:rPr>
              <w:t>危机个数</w:t>
            </w:r>
          </w:p>
        </w:tc>
        <w:tc>
          <w:tcPr>
            <w:tcW w:w="765" w:type="dxa"/>
            <w:tcBorders>
              <w:top w:val="single" w:sz="4" w:space="0" w:color="auto"/>
              <w:left w:val="nil"/>
              <w:bottom w:val="single" w:sz="4" w:space="0" w:color="auto"/>
              <w:right w:val="nil"/>
            </w:tcBorders>
            <w:shd w:val="clear" w:color="auto" w:fill="auto"/>
            <w:noWrap/>
            <w:vAlign w:val="center"/>
          </w:tcPr>
          <w:p w14:paraId="4E21FB32" w14:textId="77777777" w:rsidR="0025680F" w:rsidRDefault="00D201ED">
            <w:pPr>
              <w:snapToGrid w:val="0"/>
              <w:jc w:val="center"/>
              <w:rPr>
                <w:bCs/>
                <w:sz w:val="15"/>
                <w:szCs w:val="15"/>
              </w:rPr>
            </w:pPr>
            <w:r>
              <w:rPr>
                <w:rFonts w:hint="eastAsia"/>
                <w:bCs/>
                <w:sz w:val="15"/>
                <w:szCs w:val="15"/>
              </w:rPr>
              <w:t>危机级别</w:t>
            </w:r>
          </w:p>
        </w:tc>
        <w:tc>
          <w:tcPr>
            <w:tcW w:w="821" w:type="dxa"/>
            <w:tcBorders>
              <w:top w:val="single" w:sz="4" w:space="0" w:color="auto"/>
              <w:left w:val="nil"/>
              <w:bottom w:val="single" w:sz="4" w:space="0" w:color="auto"/>
              <w:right w:val="nil"/>
            </w:tcBorders>
            <w:shd w:val="clear" w:color="auto" w:fill="auto"/>
            <w:noWrap/>
            <w:vAlign w:val="center"/>
          </w:tcPr>
          <w:p w14:paraId="0C0D1021" w14:textId="77777777" w:rsidR="0025680F" w:rsidRDefault="00D201ED">
            <w:pPr>
              <w:snapToGrid w:val="0"/>
              <w:jc w:val="center"/>
              <w:rPr>
                <w:bCs/>
                <w:sz w:val="15"/>
                <w:szCs w:val="15"/>
              </w:rPr>
            </w:pPr>
            <w:r>
              <w:rPr>
                <w:rFonts w:hint="eastAsia"/>
                <w:bCs/>
                <w:sz w:val="15"/>
                <w:szCs w:val="15"/>
              </w:rPr>
              <w:t>综合得分</w:t>
            </w:r>
          </w:p>
        </w:tc>
      </w:tr>
      <w:tr w:rsidR="0025680F" w14:paraId="61F4CDAD" w14:textId="77777777">
        <w:trPr>
          <w:jc w:val="center"/>
        </w:trPr>
        <w:tc>
          <w:tcPr>
            <w:tcW w:w="1077" w:type="dxa"/>
            <w:tcBorders>
              <w:top w:val="single" w:sz="4" w:space="0" w:color="auto"/>
              <w:left w:val="nil"/>
              <w:bottom w:val="nil"/>
              <w:right w:val="nil"/>
            </w:tcBorders>
            <w:shd w:val="clear" w:color="auto" w:fill="auto"/>
            <w:noWrap/>
            <w:vAlign w:val="center"/>
          </w:tcPr>
          <w:p w14:paraId="1CF28B1B" w14:textId="77777777" w:rsidR="0025680F" w:rsidRDefault="00D201ED">
            <w:pPr>
              <w:snapToGrid w:val="0"/>
              <w:jc w:val="center"/>
              <w:rPr>
                <w:bCs/>
                <w:sz w:val="15"/>
                <w:szCs w:val="15"/>
              </w:rPr>
            </w:pPr>
            <w:r>
              <w:rPr>
                <w:rFonts w:hint="eastAsia"/>
                <w:bCs/>
                <w:sz w:val="15"/>
                <w:szCs w:val="15"/>
              </w:rPr>
              <w:t>中国东方航空</w:t>
            </w:r>
          </w:p>
        </w:tc>
        <w:tc>
          <w:tcPr>
            <w:tcW w:w="805" w:type="dxa"/>
            <w:tcBorders>
              <w:top w:val="single" w:sz="4" w:space="0" w:color="auto"/>
              <w:left w:val="nil"/>
              <w:bottom w:val="nil"/>
              <w:right w:val="nil"/>
            </w:tcBorders>
            <w:shd w:val="clear" w:color="auto" w:fill="auto"/>
            <w:noWrap/>
            <w:vAlign w:val="center"/>
          </w:tcPr>
          <w:p w14:paraId="50EEB49E" w14:textId="77777777" w:rsidR="0025680F" w:rsidRDefault="00D201ED">
            <w:pPr>
              <w:snapToGrid w:val="0"/>
              <w:jc w:val="center"/>
              <w:rPr>
                <w:bCs/>
                <w:sz w:val="15"/>
                <w:szCs w:val="15"/>
              </w:rPr>
            </w:pPr>
            <w:r>
              <w:rPr>
                <w:rFonts w:hint="eastAsia"/>
                <w:bCs/>
                <w:sz w:val="15"/>
                <w:szCs w:val="15"/>
              </w:rPr>
              <w:t xml:space="preserve">80.00 </w:t>
            </w:r>
          </w:p>
        </w:tc>
        <w:tc>
          <w:tcPr>
            <w:tcW w:w="752" w:type="dxa"/>
            <w:tcBorders>
              <w:top w:val="single" w:sz="4" w:space="0" w:color="auto"/>
              <w:left w:val="nil"/>
              <w:bottom w:val="nil"/>
              <w:right w:val="nil"/>
            </w:tcBorders>
            <w:shd w:val="clear" w:color="auto" w:fill="auto"/>
            <w:noWrap/>
            <w:vAlign w:val="center"/>
          </w:tcPr>
          <w:p w14:paraId="31D60F6D" w14:textId="77777777" w:rsidR="0025680F" w:rsidRDefault="00D201ED">
            <w:pPr>
              <w:snapToGrid w:val="0"/>
              <w:jc w:val="center"/>
              <w:rPr>
                <w:bCs/>
                <w:sz w:val="15"/>
                <w:szCs w:val="15"/>
              </w:rPr>
            </w:pPr>
            <w:r>
              <w:rPr>
                <w:rFonts w:hint="eastAsia"/>
                <w:bCs/>
                <w:sz w:val="15"/>
                <w:szCs w:val="15"/>
              </w:rPr>
              <w:t xml:space="preserve">70.00 </w:t>
            </w:r>
          </w:p>
        </w:tc>
        <w:tc>
          <w:tcPr>
            <w:tcW w:w="846" w:type="dxa"/>
            <w:tcBorders>
              <w:top w:val="single" w:sz="4" w:space="0" w:color="auto"/>
              <w:left w:val="nil"/>
              <w:bottom w:val="nil"/>
              <w:right w:val="nil"/>
            </w:tcBorders>
            <w:shd w:val="clear" w:color="auto" w:fill="auto"/>
            <w:noWrap/>
            <w:vAlign w:val="center"/>
          </w:tcPr>
          <w:p w14:paraId="294E6163" w14:textId="77777777" w:rsidR="0025680F" w:rsidRDefault="00D201ED">
            <w:pPr>
              <w:snapToGrid w:val="0"/>
              <w:jc w:val="center"/>
              <w:rPr>
                <w:bCs/>
                <w:sz w:val="15"/>
                <w:szCs w:val="15"/>
              </w:rPr>
            </w:pPr>
            <w:r>
              <w:rPr>
                <w:rFonts w:hint="eastAsia"/>
                <w:bCs/>
                <w:sz w:val="15"/>
                <w:szCs w:val="15"/>
              </w:rPr>
              <w:t xml:space="preserve">70.00 </w:t>
            </w:r>
          </w:p>
        </w:tc>
        <w:tc>
          <w:tcPr>
            <w:tcW w:w="816" w:type="dxa"/>
            <w:tcBorders>
              <w:top w:val="single" w:sz="4" w:space="0" w:color="auto"/>
              <w:left w:val="nil"/>
              <w:bottom w:val="nil"/>
              <w:right w:val="nil"/>
            </w:tcBorders>
            <w:shd w:val="clear" w:color="auto" w:fill="auto"/>
            <w:noWrap/>
            <w:vAlign w:val="center"/>
          </w:tcPr>
          <w:p w14:paraId="793E6C3F" w14:textId="77777777" w:rsidR="0025680F" w:rsidRDefault="00D201ED">
            <w:pPr>
              <w:snapToGrid w:val="0"/>
              <w:jc w:val="center"/>
              <w:rPr>
                <w:bCs/>
                <w:sz w:val="15"/>
                <w:szCs w:val="15"/>
              </w:rPr>
            </w:pPr>
            <w:r>
              <w:rPr>
                <w:rFonts w:hint="eastAsia"/>
                <w:bCs/>
                <w:sz w:val="15"/>
                <w:szCs w:val="15"/>
              </w:rPr>
              <w:t xml:space="preserve">-30.00 </w:t>
            </w:r>
          </w:p>
        </w:tc>
        <w:tc>
          <w:tcPr>
            <w:tcW w:w="831" w:type="dxa"/>
            <w:tcBorders>
              <w:top w:val="single" w:sz="4" w:space="0" w:color="auto"/>
              <w:left w:val="nil"/>
              <w:bottom w:val="nil"/>
              <w:right w:val="nil"/>
            </w:tcBorders>
            <w:shd w:val="clear" w:color="auto" w:fill="auto"/>
            <w:noWrap/>
            <w:vAlign w:val="center"/>
          </w:tcPr>
          <w:p w14:paraId="4B8C48F3" w14:textId="77777777" w:rsidR="0025680F" w:rsidRDefault="00D201ED">
            <w:pPr>
              <w:snapToGrid w:val="0"/>
              <w:jc w:val="center"/>
              <w:rPr>
                <w:bCs/>
                <w:sz w:val="15"/>
                <w:szCs w:val="15"/>
              </w:rPr>
            </w:pPr>
            <w:r>
              <w:rPr>
                <w:rFonts w:hint="eastAsia"/>
                <w:bCs/>
                <w:sz w:val="15"/>
                <w:szCs w:val="15"/>
              </w:rPr>
              <w:t xml:space="preserve">60.00 </w:t>
            </w:r>
          </w:p>
        </w:tc>
        <w:tc>
          <w:tcPr>
            <w:tcW w:w="831" w:type="dxa"/>
            <w:tcBorders>
              <w:top w:val="single" w:sz="4" w:space="0" w:color="auto"/>
              <w:left w:val="nil"/>
              <w:bottom w:val="nil"/>
              <w:right w:val="nil"/>
            </w:tcBorders>
            <w:shd w:val="clear" w:color="auto" w:fill="auto"/>
            <w:noWrap/>
            <w:vAlign w:val="center"/>
          </w:tcPr>
          <w:p w14:paraId="4492F64A" w14:textId="77777777" w:rsidR="0025680F" w:rsidRDefault="00D201ED">
            <w:pPr>
              <w:snapToGrid w:val="0"/>
              <w:jc w:val="center"/>
              <w:rPr>
                <w:bCs/>
                <w:sz w:val="15"/>
                <w:szCs w:val="15"/>
              </w:rPr>
            </w:pPr>
            <w:r>
              <w:rPr>
                <w:rFonts w:hint="eastAsia"/>
                <w:bCs/>
                <w:sz w:val="15"/>
                <w:szCs w:val="15"/>
              </w:rPr>
              <w:t xml:space="preserve">60.00 </w:t>
            </w:r>
          </w:p>
        </w:tc>
        <w:tc>
          <w:tcPr>
            <w:tcW w:w="831" w:type="dxa"/>
            <w:tcBorders>
              <w:top w:val="single" w:sz="4" w:space="0" w:color="auto"/>
              <w:left w:val="nil"/>
              <w:bottom w:val="nil"/>
              <w:right w:val="nil"/>
            </w:tcBorders>
            <w:shd w:val="clear" w:color="auto" w:fill="auto"/>
            <w:noWrap/>
            <w:vAlign w:val="center"/>
          </w:tcPr>
          <w:p w14:paraId="2570B5CF" w14:textId="77777777" w:rsidR="0025680F" w:rsidRDefault="00D201ED">
            <w:pPr>
              <w:snapToGrid w:val="0"/>
              <w:jc w:val="center"/>
              <w:rPr>
                <w:bCs/>
                <w:sz w:val="15"/>
                <w:szCs w:val="15"/>
              </w:rPr>
            </w:pPr>
            <w:r>
              <w:rPr>
                <w:rFonts w:hint="eastAsia"/>
                <w:bCs/>
                <w:sz w:val="15"/>
                <w:szCs w:val="15"/>
              </w:rPr>
              <w:t xml:space="preserve">40.00 </w:t>
            </w:r>
          </w:p>
        </w:tc>
        <w:tc>
          <w:tcPr>
            <w:tcW w:w="831" w:type="dxa"/>
            <w:tcBorders>
              <w:top w:val="single" w:sz="4" w:space="0" w:color="auto"/>
              <w:left w:val="nil"/>
              <w:bottom w:val="nil"/>
              <w:right w:val="nil"/>
            </w:tcBorders>
            <w:shd w:val="clear" w:color="auto" w:fill="auto"/>
            <w:noWrap/>
            <w:vAlign w:val="center"/>
          </w:tcPr>
          <w:p w14:paraId="60752027" w14:textId="77777777" w:rsidR="0025680F" w:rsidRDefault="00D201ED">
            <w:pPr>
              <w:snapToGrid w:val="0"/>
              <w:jc w:val="center"/>
              <w:rPr>
                <w:bCs/>
                <w:sz w:val="15"/>
                <w:szCs w:val="15"/>
              </w:rPr>
            </w:pPr>
            <w:r>
              <w:rPr>
                <w:rFonts w:hint="eastAsia"/>
                <w:bCs/>
                <w:sz w:val="15"/>
                <w:szCs w:val="15"/>
              </w:rPr>
              <w:t xml:space="preserve">50.00 </w:t>
            </w:r>
          </w:p>
        </w:tc>
        <w:tc>
          <w:tcPr>
            <w:tcW w:w="831" w:type="dxa"/>
            <w:tcBorders>
              <w:top w:val="single" w:sz="4" w:space="0" w:color="auto"/>
              <w:left w:val="nil"/>
              <w:bottom w:val="nil"/>
              <w:right w:val="nil"/>
            </w:tcBorders>
            <w:shd w:val="clear" w:color="auto" w:fill="auto"/>
            <w:noWrap/>
            <w:vAlign w:val="center"/>
          </w:tcPr>
          <w:p w14:paraId="7DF2332A" w14:textId="77777777" w:rsidR="0025680F" w:rsidRDefault="00D201ED">
            <w:pPr>
              <w:snapToGrid w:val="0"/>
              <w:jc w:val="center"/>
              <w:rPr>
                <w:bCs/>
                <w:sz w:val="15"/>
                <w:szCs w:val="15"/>
              </w:rPr>
            </w:pPr>
            <w:r>
              <w:rPr>
                <w:rFonts w:hint="eastAsia"/>
                <w:bCs/>
                <w:sz w:val="15"/>
                <w:szCs w:val="15"/>
              </w:rPr>
              <w:t xml:space="preserve">70.00 </w:t>
            </w:r>
          </w:p>
        </w:tc>
        <w:tc>
          <w:tcPr>
            <w:tcW w:w="831" w:type="dxa"/>
            <w:tcBorders>
              <w:top w:val="single" w:sz="4" w:space="0" w:color="auto"/>
              <w:left w:val="nil"/>
              <w:bottom w:val="nil"/>
              <w:right w:val="nil"/>
            </w:tcBorders>
            <w:shd w:val="clear" w:color="auto" w:fill="auto"/>
            <w:noWrap/>
            <w:vAlign w:val="center"/>
          </w:tcPr>
          <w:p w14:paraId="7D15CC26" w14:textId="77777777" w:rsidR="0025680F" w:rsidRDefault="00D201ED">
            <w:pPr>
              <w:snapToGrid w:val="0"/>
              <w:jc w:val="center"/>
              <w:rPr>
                <w:bCs/>
                <w:sz w:val="15"/>
                <w:szCs w:val="15"/>
              </w:rPr>
            </w:pPr>
            <w:r>
              <w:rPr>
                <w:rFonts w:hint="eastAsia"/>
                <w:bCs/>
                <w:sz w:val="15"/>
                <w:szCs w:val="15"/>
              </w:rPr>
              <w:t xml:space="preserve">13.00 </w:t>
            </w:r>
          </w:p>
        </w:tc>
        <w:tc>
          <w:tcPr>
            <w:tcW w:w="765" w:type="dxa"/>
            <w:tcBorders>
              <w:top w:val="single" w:sz="4" w:space="0" w:color="auto"/>
              <w:left w:val="nil"/>
              <w:bottom w:val="nil"/>
              <w:right w:val="nil"/>
            </w:tcBorders>
            <w:shd w:val="clear" w:color="auto" w:fill="auto"/>
            <w:noWrap/>
            <w:vAlign w:val="center"/>
          </w:tcPr>
          <w:p w14:paraId="0303E3BD" w14:textId="77777777" w:rsidR="0025680F" w:rsidRDefault="00D201ED">
            <w:pPr>
              <w:snapToGrid w:val="0"/>
              <w:jc w:val="center"/>
              <w:rPr>
                <w:bCs/>
                <w:sz w:val="15"/>
                <w:szCs w:val="15"/>
              </w:rPr>
            </w:pPr>
            <w:r>
              <w:rPr>
                <w:rFonts w:hint="eastAsia"/>
                <w:bCs/>
                <w:sz w:val="15"/>
                <w:szCs w:val="15"/>
              </w:rPr>
              <w:t xml:space="preserve">1.00 </w:t>
            </w:r>
          </w:p>
        </w:tc>
        <w:tc>
          <w:tcPr>
            <w:tcW w:w="821" w:type="dxa"/>
            <w:tcBorders>
              <w:top w:val="single" w:sz="4" w:space="0" w:color="auto"/>
              <w:left w:val="nil"/>
              <w:bottom w:val="nil"/>
              <w:right w:val="nil"/>
            </w:tcBorders>
            <w:shd w:val="clear" w:color="auto" w:fill="auto"/>
            <w:noWrap/>
            <w:vAlign w:val="center"/>
          </w:tcPr>
          <w:p w14:paraId="21EF4A1C" w14:textId="77777777" w:rsidR="0025680F" w:rsidRDefault="00D201ED">
            <w:pPr>
              <w:snapToGrid w:val="0"/>
              <w:jc w:val="center"/>
              <w:rPr>
                <w:bCs/>
                <w:sz w:val="15"/>
                <w:szCs w:val="15"/>
              </w:rPr>
            </w:pPr>
            <w:r>
              <w:rPr>
                <w:rFonts w:hint="eastAsia"/>
                <w:bCs/>
                <w:sz w:val="15"/>
                <w:szCs w:val="15"/>
              </w:rPr>
              <w:t xml:space="preserve">69.65 </w:t>
            </w:r>
          </w:p>
        </w:tc>
      </w:tr>
      <w:tr w:rsidR="0025680F" w14:paraId="091EBEBF" w14:textId="77777777">
        <w:trPr>
          <w:jc w:val="center"/>
        </w:trPr>
        <w:tc>
          <w:tcPr>
            <w:tcW w:w="1077" w:type="dxa"/>
            <w:tcBorders>
              <w:top w:val="nil"/>
              <w:left w:val="nil"/>
              <w:bottom w:val="nil"/>
              <w:right w:val="nil"/>
            </w:tcBorders>
            <w:shd w:val="clear" w:color="auto" w:fill="auto"/>
            <w:noWrap/>
            <w:vAlign w:val="center"/>
          </w:tcPr>
          <w:p w14:paraId="4DE9DFF8" w14:textId="77777777" w:rsidR="0025680F" w:rsidRDefault="00D201ED">
            <w:pPr>
              <w:snapToGrid w:val="0"/>
              <w:jc w:val="center"/>
              <w:rPr>
                <w:bCs/>
                <w:sz w:val="15"/>
                <w:szCs w:val="15"/>
              </w:rPr>
            </w:pPr>
            <w:r>
              <w:rPr>
                <w:rFonts w:hint="eastAsia"/>
                <w:bCs/>
                <w:sz w:val="15"/>
                <w:szCs w:val="15"/>
              </w:rPr>
              <w:t>中国国际航空</w:t>
            </w:r>
          </w:p>
        </w:tc>
        <w:tc>
          <w:tcPr>
            <w:tcW w:w="805" w:type="dxa"/>
            <w:tcBorders>
              <w:top w:val="nil"/>
              <w:left w:val="nil"/>
              <w:bottom w:val="nil"/>
              <w:right w:val="nil"/>
            </w:tcBorders>
            <w:shd w:val="clear" w:color="auto" w:fill="auto"/>
            <w:noWrap/>
            <w:vAlign w:val="center"/>
          </w:tcPr>
          <w:p w14:paraId="40F77C7D" w14:textId="77777777" w:rsidR="0025680F" w:rsidRDefault="00D201ED">
            <w:pPr>
              <w:snapToGrid w:val="0"/>
              <w:jc w:val="center"/>
              <w:rPr>
                <w:bCs/>
                <w:sz w:val="15"/>
                <w:szCs w:val="15"/>
              </w:rPr>
            </w:pPr>
            <w:r>
              <w:rPr>
                <w:rFonts w:hint="eastAsia"/>
                <w:bCs/>
                <w:sz w:val="15"/>
                <w:szCs w:val="15"/>
              </w:rPr>
              <w:t xml:space="preserve">85.00 </w:t>
            </w:r>
          </w:p>
        </w:tc>
        <w:tc>
          <w:tcPr>
            <w:tcW w:w="752" w:type="dxa"/>
            <w:tcBorders>
              <w:top w:val="nil"/>
              <w:left w:val="nil"/>
              <w:bottom w:val="nil"/>
              <w:right w:val="nil"/>
            </w:tcBorders>
            <w:shd w:val="clear" w:color="auto" w:fill="auto"/>
            <w:noWrap/>
            <w:vAlign w:val="center"/>
          </w:tcPr>
          <w:p w14:paraId="196FDF02" w14:textId="77777777" w:rsidR="0025680F" w:rsidRDefault="00D201ED">
            <w:pPr>
              <w:snapToGrid w:val="0"/>
              <w:jc w:val="center"/>
              <w:rPr>
                <w:bCs/>
                <w:sz w:val="15"/>
                <w:szCs w:val="15"/>
              </w:rPr>
            </w:pPr>
            <w:r>
              <w:rPr>
                <w:rFonts w:hint="eastAsia"/>
                <w:bCs/>
                <w:sz w:val="15"/>
                <w:szCs w:val="15"/>
              </w:rPr>
              <w:t xml:space="preserve">80.00 </w:t>
            </w:r>
          </w:p>
        </w:tc>
        <w:tc>
          <w:tcPr>
            <w:tcW w:w="846" w:type="dxa"/>
            <w:tcBorders>
              <w:top w:val="nil"/>
              <w:left w:val="nil"/>
              <w:bottom w:val="nil"/>
              <w:right w:val="nil"/>
            </w:tcBorders>
            <w:shd w:val="clear" w:color="auto" w:fill="auto"/>
            <w:noWrap/>
            <w:vAlign w:val="center"/>
          </w:tcPr>
          <w:p w14:paraId="008FDD47" w14:textId="77777777" w:rsidR="0025680F" w:rsidRDefault="00D201ED">
            <w:pPr>
              <w:snapToGrid w:val="0"/>
              <w:jc w:val="center"/>
              <w:rPr>
                <w:bCs/>
                <w:sz w:val="15"/>
                <w:szCs w:val="15"/>
              </w:rPr>
            </w:pPr>
            <w:r>
              <w:rPr>
                <w:rFonts w:hint="eastAsia"/>
                <w:bCs/>
                <w:sz w:val="15"/>
                <w:szCs w:val="15"/>
              </w:rPr>
              <w:t xml:space="preserve">70.00 </w:t>
            </w:r>
          </w:p>
        </w:tc>
        <w:tc>
          <w:tcPr>
            <w:tcW w:w="816" w:type="dxa"/>
            <w:tcBorders>
              <w:top w:val="nil"/>
              <w:left w:val="nil"/>
              <w:bottom w:val="nil"/>
              <w:right w:val="nil"/>
            </w:tcBorders>
            <w:shd w:val="clear" w:color="auto" w:fill="auto"/>
            <w:noWrap/>
            <w:vAlign w:val="center"/>
          </w:tcPr>
          <w:p w14:paraId="7F86C00C" w14:textId="77777777" w:rsidR="0025680F" w:rsidRDefault="00D201ED">
            <w:pPr>
              <w:snapToGrid w:val="0"/>
              <w:jc w:val="center"/>
              <w:rPr>
                <w:bCs/>
                <w:sz w:val="15"/>
                <w:szCs w:val="15"/>
              </w:rPr>
            </w:pPr>
            <w:r>
              <w:rPr>
                <w:rFonts w:hint="eastAsia"/>
                <w:bCs/>
                <w:sz w:val="15"/>
                <w:szCs w:val="15"/>
              </w:rPr>
              <w:t xml:space="preserve">40.00 </w:t>
            </w:r>
          </w:p>
        </w:tc>
        <w:tc>
          <w:tcPr>
            <w:tcW w:w="831" w:type="dxa"/>
            <w:tcBorders>
              <w:top w:val="nil"/>
              <w:left w:val="nil"/>
              <w:bottom w:val="nil"/>
              <w:right w:val="nil"/>
            </w:tcBorders>
            <w:shd w:val="clear" w:color="auto" w:fill="auto"/>
            <w:noWrap/>
            <w:vAlign w:val="center"/>
          </w:tcPr>
          <w:p w14:paraId="7AF1DB83" w14:textId="77777777" w:rsidR="0025680F" w:rsidRDefault="00D201ED">
            <w:pPr>
              <w:snapToGrid w:val="0"/>
              <w:jc w:val="center"/>
              <w:rPr>
                <w:bCs/>
                <w:sz w:val="15"/>
                <w:szCs w:val="15"/>
              </w:rPr>
            </w:pPr>
            <w:r>
              <w:rPr>
                <w:rFonts w:hint="eastAsia"/>
                <w:bCs/>
                <w:sz w:val="15"/>
                <w:szCs w:val="15"/>
              </w:rPr>
              <w:t xml:space="preserve">80.00 </w:t>
            </w:r>
          </w:p>
        </w:tc>
        <w:tc>
          <w:tcPr>
            <w:tcW w:w="831" w:type="dxa"/>
            <w:tcBorders>
              <w:top w:val="nil"/>
              <w:left w:val="nil"/>
              <w:bottom w:val="nil"/>
              <w:right w:val="nil"/>
            </w:tcBorders>
            <w:shd w:val="clear" w:color="auto" w:fill="auto"/>
            <w:noWrap/>
            <w:vAlign w:val="center"/>
          </w:tcPr>
          <w:p w14:paraId="4FA90458" w14:textId="77777777" w:rsidR="0025680F" w:rsidRDefault="00D201ED">
            <w:pPr>
              <w:snapToGrid w:val="0"/>
              <w:jc w:val="center"/>
              <w:rPr>
                <w:bCs/>
                <w:sz w:val="15"/>
                <w:szCs w:val="15"/>
              </w:rPr>
            </w:pPr>
            <w:r>
              <w:rPr>
                <w:rFonts w:hint="eastAsia"/>
                <w:bCs/>
                <w:sz w:val="15"/>
                <w:szCs w:val="15"/>
              </w:rPr>
              <w:t xml:space="preserve">80.00 </w:t>
            </w:r>
          </w:p>
        </w:tc>
        <w:tc>
          <w:tcPr>
            <w:tcW w:w="831" w:type="dxa"/>
            <w:tcBorders>
              <w:top w:val="nil"/>
              <w:left w:val="nil"/>
              <w:bottom w:val="nil"/>
              <w:right w:val="nil"/>
            </w:tcBorders>
            <w:shd w:val="clear" w:color="auto" w:fill="auto"/>
            <w:noWrap/>
            <w:vAlign w:val="center"/>
          </w:tcPr>
          <w:p w14:paraId="07C2683B" w14:textId="77777777" w:rsidR="0025680F" w:rsidRDefault="00D201ED">
            <w:pPr>
              <w:snapToGrid w:val="0"/>
              <w:jc w:val="center"/>
              <w:rPr>
                <w:bCs/>
                <w:sz w:val="15"/>
                <w:szCs w:val="15"/>
              </w:rPr>
            </w:pPr>
            <w:r>
              <w:rPr>
                <w:rFonts w:hint="eastAsia"/>
                <w:bCs/>
                <w:sz w:val="15"/>
                <w:szCs w:val="15"/>
              </w:rPr>
              <w:t xml:space="preserve">60.00 </w:t>
            </w:r>
          </w:p>
        </w:tc>
        <w:tc>
          <w:tcPr>
            <w:tcW w:w="831" w:type="dxa"/>
            <w:tcBorders>
              <w:top w:val="nil"/>
              <w:left w:val="nil"/>
              <w:bottom w:val="nil"/>
              <w:right w:val="nil"/>
            </w:tcBorders>
            <w:shd w:val="clear" w:color="auto" w:fill="auto"/>
            <w:noWrap/>
            <w:vAlign w:val="center"/>
          </w:tcPr>
          <w:p w14:paraId="774011FA" w14:textId="77777777" w:rsidR="0025680F" w:rsidRDefault="00D201ED">
            <w:pPr>
              <w:snapToGrid w:val="0"/>
              <w:jc w:val="center"/>
              <w:rPr>
                <w:bCs/>
                <w:sz w:val="15"/>
                <w:szCs w:val="15"/>
              </w:rPr>
            </w:pPr>
            <w:r>
              <w:rPr>
                <w:rFonts w:hint="eastAsia"/>
                <w:bCs/>
                <w:sz w:val="15"/>
                <w:szCs w:val="15"/>
              </w:rPr>
              <w:t xml:space="preserve">45.00 </w:t>
            </w:r>
          </w:p>
        </w:tc>
        <w:tc>
          <w:tcPr>
            <w:tcW w:w="831" w:type="dxa"/>
            <w:tcBorders>
              <w:top w:val="nil"/>
              <w:left w:val="nil"/>
              <w:bottom w:val="nil"/>
              <w:right w:val="nil"/>
            </w:tcBorders>
            <w:shd w:val="clear" w:color="auto" w:fill="auto"/>
            <w:noWrap/>
            <w:vAlign w:val="center"/>
          </w:tcPr>
          <w:p w14:paraId="39D92A52" w14:textId="77777777" w:rsidR="0025680F" w:rsidRDefault="00D201ED">
            <w:pPr>
              <w:snapToGrid w:val="0"/>
              <w:jc w:val="center"/>
              <w:rPr>
                <w:bCs/>
                <w:sz w:val="15"/>
                <w:szCs w:val="15"/>
              </w:rPr>
            </w:pPr>
            <w:r>
              <w:rPr>
                <w:rFonts w:hint="eastAsia"/>
                <w:bCs/>
                <w:sz w:val="15"/>
                <w:szCs w:val="15"/>
              </w:rPr>
              <w:t xml:space="preserve">80.00 </w:t>
            </w:r>
          </w:p>
        </w:tc>
        <w:tc>
          <w:tcPr>
            <w:tcW w:w="831" w:type="dxa"/>
            <w:tcBorders>
              <w:top w:val="nil"/>
              <w:left w:val="nil"/>
              <w:bottom w:val="nil"/>
              <w:right w:val="nil"/>
            </w:tcBorders>
            <w:shd w:val="clear" w:color="auto" w:fill="auto"/>
            <w:noWrap/>
            <w:vAlign w:val="center"/>
          </w:tcPr>
          <w:p w14:paraId="32A18C55" w14:textId="77777777" w:rsidR="0025680F" w:rsidRDefault="00D201ED">
            <w:pPr>
              <w:snapToGrid w:val="0"/>
              <w:jc w:val="center"/>
              <w:rPr>
                <w:bCs/>
                <w:sz w:val="15"/>
                <w:szCs w:val="15"/>
              </w:rPr>
            </w:pPr>
            <w:r>
              <w:rPr>
                <w:rFonts w:hint="eastAsia"/>
                <w:bCs/>
                <w:sz w:val="15"/>
                <w:szCs w:val="15"/>
              </w:rPr>
              <w:t xml:space="preserve">7.00 </w:t>
            </w:r>
          </w:p>
        </w:tc>
        <w:tc>
          <w:tcPr>
            <w:tcW w:w="765" w:type="dxa"/>
            <w:tcBorders>
              <w:top w:val="nil"/>
              <w:left w:val="nil"/>
              <w:bottom w:val="nil"/>
              <w:right w:val="nil"/>
            </w:tcBorders>
            <w:shd w:val="clear" w:color="auto" w:fill="auto"/>
            <w:noWrap/>
            <w:vAlign w:val="center"/>
          </w:tcPr>
          <w:p w14:paraId="7BB62749" w14:textId="77777777" w:rsidR="0025680F" w:rsidRDefault="00D201ED">
            <w:pPr>
              <w:snapToGrid w:val="0"/>
              <w:jc w:val="center"/>
              <w:rPr>
                <w:bCs/>
                <w:sz w:val="15"/>
                <w:szCs w:val="15"/>
              </w:rPr>
            </w:pPr>
            <w:r>
              <w:rPr>
                <w:rFonts w:hint="eastAsia"/>
                <w:bCs/>
                <w:sz w:val="15"/>
                <w:szCs w:val="15"/>
              </w:rPr>
              <w:t xml:space="preserve">0.50 </w:t>
            </w:r>
          </w:p>
        </w:tc>
        <w:tc>
          <w:tcPr>
            <w:tcW w:w="821" w:type="dxa"/>
            <w:tcBorders>
              <w:top w:val="nil"/>
              <w:left w:val="nil"/>
              <w:bottom w:val="nil"/>
              <w:right w:val="nil"/>
            </w:tcBorders>
            <w:shd w:val="clear" w:color="auto" w:fill="auto"/>
            <w:noWrap/>
            <w:vAlign w:val="center"/>
          </w:tcPr>
          <w:p w14:paraId="61BD0C8B" w14:textId="77777777" w:rsidR="0025680F" w:rsidRDefault="00D201ED">
            <w:pPr>
              <w:snapToGrid w:val="0"/>
              <w:jc w:val="center"/>
              <w:rPr>
                <w:bCs/>
                <w:sz w:val="15"/>
                <w:szCs w:val="15"/>
              </w:rPr>
            </w:pPr>
            <w:r>
              <w:rPr>
                <w:rFonts w:hint="eastAsia"/>
                <w:bCs/>
                <w:sz w:val="15"/>
                <w:szCs w:val="15"/>
              </w:rPr>
              <w:t xml:space="preserve">62.44 </w:t>
            </w:r>
          </w:p>
        </w:tc>
      </w:tr>
      <w:tr w:rsidR="0025680F" w14:paraId="46369281" w14:textId="77777777">
        <w:trPr>
          <w:jc w:val="center"/>
        </w:trPr>
        <w:tc>
          <w:tcPr>
            <w:tcW w:w="1077" w:type="dxa"/>
            <w:tcBorders>
              <w:top w:val="nil"/>
              <w:left w:val="nil"/>
              <w:bottom w:val="nil"/>
              <w:right w:val="nil"/>
            </w:tcBorders>
            <w:shd w:val="clear" w:color="auto" w:fill="auto"/>
            <w:noWrap/>
            <w:vAlign w:val="center"/>
          </w:tcPr>
          <w:p w14:paraId="179976C7" w14:textId="77777777" w:rsidR="0025680F" w:rsidRDefault="00D201ED">
            <w:pPr>
              <w:snapToGrid w:val="0"/>
              <w:jc w:val="center"/>
              <w:rPr>
                <w:bCs/>
                <w:sz w:val="15"/>
                <w:szCs w:val="15"/>
              </w:rPr>
            </w:pPr>
            <w:r>
              <w:rPr>
                <w:rFonts w:hint="eastAsia"/>
                <w:bCs/>
                <w:sz w:val="15"/>
                <w:szCs w:val="15"/>
              </w:rPr>
              <w:t>中国南方航空</w:t>
            </w:r>
          </w:p>
        </w:tc>
        <w:tc>
          <w:tcPr>
            <w:tcW w:w="805" w:type="dxa"/>
            <w:tcBorders>
              <w:top w:val="nil"/>
              <w:left w:val="nil"/>
              <w:bottom w:val="nil"/>
              <w:right w:val="nil"/>
            </w:tcBorders>
            <w:shd w:val="clear" w:color="auto" w:fill="auto"/>
            <w:noWrap/>
            <w:vAlign w:val="center"/>
          </w:tcPr>
          <w:p w14:paraId="4A324537" w14:textId="77777777" w:rsidR="0025680F" w:rsidRDefault="00D201ED">
            <w:pPr>
              <w:snapToGrid w:val="0"/>
              <w:jc w:val="center"/>
              <w:rPr>
                <w:bCs/>
                <w:sz w:val="15"/>
                <w:szCs w:val="15"/>
              </w:rPr>
            </w:pPr>
            <w:r>
              <w:rPr>
                <w:rFonts w:hint="eastAsia"/>
                <w:bCs/>
                <w:sz w:val="15"/>
                <w:szCs w:val="15"/>
              </w:rPr>
              <w:t xml:space="preserve">70.00 </w:t>
            </w:r>
          </w:p>
        </w:tc>
        <w:tc>
          <w:tcPr>
            <w:tcW w:w="752" w:type="dxa"/>
            <w:tcBorders>
              <w:top w:val="nil"/>
              <w:left w:val="nil"/>
              <w:bottom w:val="nil"/>
              <w:right w:val="nil"/>
            </w:tcBorders>
            <w:shd w:val="clear" w:color="auto" w:fill="auto"/>
            <w:noWrap/>
            <w:vAlign w:val="center"/>
          </w:tcPr>
          <w:p w14:paraId="318C181C" w14:textId="77777777" w:rsidR="0025680F" w:rsidRDefault="00D201ED">
            <w:pPr>
              <w:snapToGrid w:val="0"/>
              <w:jc w:val="center"/>
              <w:rPr>
                <w:bCs/>
                <w:sz w:val="15"/>
                <w:szCs w:val="15"/>
              </w:rPr>
            </w:pPr>
            <w:r>
              <w:rPr>
                <w:rFonts w:hint="eastAsia"/>
                <w:bCs/>
                <w:sz w:val="15"/>
                <w:szCs w:val="15"/>
              </w:rPr>
              <w:t xml:space="preserve">80.00 </w:t>
            </w:r>
          </w:p>
        </w:tc>
        <w:tc>
          <w:tcPr>
            <w:tcW w:w="846" w:type="dxa"/>
            <w:tcBorders>
              <w:top w:val="nil"/>
              <w:left w:val="nil"/>
              <w:bottom w:val="nil"/>
              <w:right w:val="nil"/>
            </w:tcBorders>
            <w:shd w:val="clear" w:color="auto" w:fill="auto"/>
            <w:noWrap/>
            <w:vAlign w:val="center"/>
          </w:tcPr>
          <w:p w14:paraId="513F7687" w14:textId="77777777" w:rsidR="0025680F" w:rsidRDefault="00D201ED">
            <w:pPr>
              <w:snapToGrid w:val="0"/>
              <w:jc w:val="center"/>
              <w:rPr>
                <w:bCs/>
                <w:sz w:val="15"/>
                <w:szCs w:val="15"/>
              </w:rPr>
            </w:pPr>
            <w:r>
              <w:rPr>
                <w:rFonts w:hint="eastAsia"/>
                <w:bCs/>
                <w:sz w:val="15"/>
                <w:szCs w:val="15"/>
              </w:rPr>
              <w:t xml:space="preserve">60.00 </w:t>
            </w:r>
          </w:p>
        </w:tc>
        <w:tc>
          <w:tcPr>
            <w:tcW w:w="816" w:type="dxa"/>
            <w:tcBorders>
              <w:top w:val="nil"/>
              <w:left w:val="nil"/>
              <w:bottom w:val="nil"/>
              <w:right w:val="nil"/>
            </w:tcBorders>
            <w:shd w:val="clear" w:color="auto" w:fill="auto"/>
            <w:noWrap/>
            <w:vAlign w:val="center"/>
          </w:tcPr>
          <w:p w14:paraId="7EBF8CE8" w14:textId="77777777" w:rsidR="0025680F" w:rsidRDefault="00D201ED">
            <w:pPr>
              <w:snapToGrid w:val="0"/>
              <w:jc w:val="center"/>
              <w:rPr>
                <w:bCs/>
                <w:sz w:val="15"/>
                <w:szCs w:val="15"/>
              </w:rPr>
            </w:pPr>
            <w:r>
              <w:rPr>
                <w:rFonts w:hint="eastAsia"/>
                <w:bCs/>
                <w:sz w:val="15"/>
                <w:szCs w:val="15"/>
              </w:rPr>
              <w:t xml:space="preserve">-20.00 </w:t>
            </w:r>
          </w:p>
        </w:tc>
        <w:tc>
          <w:tcPr>
            <w:tcW w:w="831" w:type="dxa"/>
            <w:tcBorders>
              <w:top w:val="nil"/>
              <w:left w:val="nil"/>
              <w:bottom w:val="nil"/>
              <w:right w:val="nil"/>
            </w:tcBorders>
            <w:shd w:val="clear" w:color="auto" w:fill="auto"/>
            <w:noWrap/>
            <w:vAlign w:val="center"/>
          </w:tcPr>
          <w:p w14:paraId="665FCC09" w14:textId="77777777" w:rsidR="0025680F" w:rsidRDefault="00D201ED">
            <w:pPr>
              <w:snapToGrid w:val="0"/>
              <w:jc w:val="center"/>
              <w:rPr>
                <w:bCs/>
                <w:sz w:val="15"/>
                <w:szCs w:val="15"/>
              </w:rPr>
            </w:pPr>
            <w:r>
              <w:rPr>
                <w:rFonts w:hint="eastAsia"/>
                <w:bCs/>
                <w:sz w:val="15"/>
                <w:szCs w:val="15"/>
              </w:rPr>
              <w:t xml:space="preserve">80.00 </w:t>
            </w:r>
          </w:p>
        </w:tc>
        <w:tc>
          <w:tcPr>
            <w:tcW w:w="831" w:type="dxa"/>
            <w:tcBorders>
              <w:top w:val="nil"/>
              <w:left w:val="nil"/>
              <w:bottom w:val="nil"/>
              <w:right w:val="nil"/>
            </w:tcBorders>
            <w:shd w:val="clear" w:color="auto" w:fill="auto"/>
            <w:noWrap/>
            <w:vAlign w:val="center"/>
          </w:tcPr>
          <w:p w14:paraId="0CCD4F7A" w14:textId="77777777" w:rsidR="0025680F" w:rsidRDefault="00D201ED">
            <w:pPr>
              <w:snapToGrid w:val="0"/>
              <w:jc w:val="center"/>
              <w:rPr>
                <w:bCs/>
                <w:sz w:val="15"/>
                <w:szCs w:val="15"/>
              </w:rPr>
            </w:pPr>
            <w:r>
              <w:rPr>
                <w:rFonts w:hint="eastAsia"/>
                <w:bCs/>
                <w:sz w:val="15"/>
                <w:szCs w:val="15"/>
              </w:rPr>
              <w:t xml:space="preserve">50.00 </w:t>
            </w:r>
          </w:p>
        </w:tc>
        <w:tc>
          <w:tcPr>
            <w:tcW w:w="831" w:type="dxa"/>
            <w:tcBorders>
              <w:top w:val="nil"/>
              <w:left w:val="nil"/>
              <w:bottom w:val="nil"/>
              <w:right w:val="nil"/>
            </w:tcBorders>
            <w:shd w:val="clear" w:color="auto" w:fill="auto"/>
            <w:noWrap/>
            <w:vAlign w:val="center"/>
          </w:tcPr>
          <w:p w14:paraId="064083C9" w14:textId="77777777" w:rsidR="0025680F" w:rsidRDefault="00D201ED">
            <w:pPr>
              <w:snapToGrid w:val="0"/>
              <w:jc w:val="center"/>
              <w:rPr>
                <w:bCs/>
                <w:sz w:val="15"/>
                <w:szCs w:val="15"/>
              </w:rPr>
            </w:pPr>
            <w:r>
              <w:rPr>
                <w:rFonts w:hint="eastAsia"/>
                <w:bCs/>
                <w:sz w:val="15"/>
                <w:szCs w:val="15"/>
              </w:rPr>
              <w:t xml:space="preserve">40.00 </w:t>
            </w:r>
          </w:p>
        </w:tc>
        <w:tc>
          <w:tcPr>
            <w:tcW w:w="831" w:type="dxa"/>
            <w:tcBorders>
              <w:top w:val="nil"/>
              <w:left w:val="nil"/>
              <w:bottom w:val="nil"/>
              <w:right w:val="nil"/>
            </w:tcBorders>
            <w:shd w:val="clear" w:color="auto" w:fill="auto"/>
            <w:noWrap/>
            <w:vAlign w:val="center"/>
          </w:tcPr>
          <w:p w14:paraId="5A313C3E" w14:textId="77777777" w:rsidR="0025680F" w:rsidRDefault="00D201ED">
            <w:pPr>
              <w:snapToGrid w:val="0"/>
              <w:jc w:val="center"/>
              <w:rPr>
                <w:bCs/>
                <w:sz w:val="15"/>
                <w:szCs w:val="15"/>
              </w:rPr>
            </w:pPr>
            <w:r>
              <w:rPr>
                <w:rFonts w:hint="eastAsia"/>
                <w:bCs/>
                <w:sz w:val="15"/>
                <w:szCs w:val="15"/>
              </w:rPr>
              <w:t xml:space="preserve">50.00 </w:t>
            </w:r>
          </w:p>
        </w:tc>
        <w:tc>
          <w:tcPr>
            <w:tcW w:w="831" w:type="dxa"/>
            <w:tcBorders>
              <w:top w:val="nil"/>
              <w:left w:val="nil"/>
              <w:bottom w:val="nil"/>
              <w:right w:val="nil"/>
            </w:tcBorders>
            <w:shd w:val="clear" w:color="auto" w:fill="auto"/>
            <w:noWrap/>
            <w:vAlign w:val="center"/>
          </w:tcPr>
          <w:p w14:paraId="7D4FE49B" w14:textId="77777777" w:rsidR="0025680F" w:rsidRDefault="00D201ED">
            <w:pPr>
              <w:snapToGrid w:val="0"/>
              <w:jc w:val="center"/>
              <w:rPr>
                <w:bCs/>
                <w:sz w:val="15"/>
                <w:szCs w:val="15"/>
              </w:rPr>
            </w:pPr>
            <w:r>
              <w:rPr>
                <w:rFonts w:hint="eastAsia"/>
                <w:bCs/>
                <w:sz w:val="15"/>
                <w:szCs w:val="15"/>
              </w:rPr>
              <w:t xml:space="preserve">80.00 </w:t>
            </w:r>
          </w:p>
        </w:tc>
        <w:tc>
          <w:tcPr>
            <w:tcW w:w="831" w:type="dxa"/>
            <w:tcBorders>
              <w:top w:val="nil"/>
              <w:left w:val="nil"/>
              <w:bottom w:val="nil"/>
              <w:right w:val="nil"/>
            </w:tcBorders>
            <w:shd w:val="clear" w:color="auto" w:fill="auto"/>
            <w:noWrap/>
            <w:vAlign w:val="center"/>
          </w:tcPr>
          <w:p w14:paraId="20B63A1D" w14:textId="77777777" w:rsidR="0025680F" w:rsidRDefault="00D201ED">
            <w:pPr>
              <w:snapToGrid w:val="0"/>
              <w:jc w:val="center"/>
              <w:rPr>
                <w:bCs/>
                <w:sz w:val="15"/>
                <w:szCs w:val="15"/>
              </w:rPr>
            </w:pPr>
            <w:r>
              <w:rPr>
                <w:rFonts w:hint="eastAsia"/>
                <w:bCs/>
                <w:sz w:val="15"/>
                <w:szCs w:val="15"/>
              </w:rPr>
              <w:t xml:space="preserve">6.00 </w:t>
            </w:r>
          </w:p>
        </w:tc>
        <w:tc>
          <w:tcPr>
            <w:tcW w:w="765" w:type="dxa"/>
            <w:tcBorders>
              <w:top w:val="nil"/>
              <w:left w:val="nil"/>
              <w:bottom w:val="nil"/>
              <w:right w:val="nil"/>
            </w:tcBorders>
            <w:shd w:val="clear" w:color="auto" w:fill="auto"/>
            <w:noWrap/>
            <w:vAlign w:val="center"/>
          </w:tcPr>
          <w:p w14:paraId="6227674F" w14:textId="77777777" w:rsidR="0025680F" w:rsidRDefault="00D201ED">
            <w:pPr>
              <w:snapToGrid w:val="0"/>
              <w:jc w:val="center"/>
              <w:rPr>
                <w:bCs/>
                <w:sz w:val="15"/>
                <w:szCs w:val="15"/>
              </w:rPr>
            </w:pPr>
            <w:r>
              <w:rPr>
                <w:rFonts w:hint="eastAsia"/>
                <w:bCs/>
                <w:sz w:val="15"/>
                <w:szCs w:val="15"/>
              </w:rPr>
              <w:t xml:space="preserve">0.50 </w:t>
            </w:r>
          </w:p>
        </w:tc>
        <w:tc>
          <w:tcPr>
            <w:tcW w:w="821" w:type="dxa"/>
            <w:tcBorders>
              <w:top w:val="nil"/>
              <w:left w:val="nil"/>
              <w:bottom w:val="nil"/>
              <w:right w:val="nil"/>
            </w:tcBorders>
            <w:shd w:val="clear" w:color="auto" w:fill="auto"/>
            <w:noWrap/>
            <w:vAlign w:val="center"/>
          </w:tcPr>
          <w:p w14:paraId="00788973" w14:textId="77777777" w:rsidR="0025680F" w:rsidRDefault="00D201ED">
            <w:pPr>
              <w:snapToGrid w:val="0"/>
              <w:jc w:val="center"/>
              <w:rPr>
                <w:bCs/>
                <w:sz w:val="15"/>
                <w:szCs w:val="15"/>
              </w:rPr>
            </w:pPr>
            <w:r>
              <w:rPr>
                <w:rFonts w:hint="eastAsia"/>
                <w:bCs/>
                <w:sz w:val="15"/>
                <w:szCs w:val="15"/>
              </w:rPr>
              <w:t xml:space="preserve">47.65 </w:t>
            </w:r>
          </w:p>
        </w:tc>
      </w:tr>
      <w:tr w:rsidR="0025680F" w14:paraId="555FAD20" w14:textId="77777777">
        <w:trPr>
          <w:jc w:val="center"/>
        </w:trPr>
        <w:tc>
          <w:tcPr>
            <w:tcW w:w="1077" w:type="dxa"/>
            <w:tcBorders>
              <w:top w:val="nil"/>
              <w:left w:val="nil"/>
              <w:bottom w:val="nil"/>
              <w:right w:val="nil"/>
            </w:tcBorders>
            <w:shd w:val="clear" w:color="auto" w:fill="auto"/>
            <w:noWrap/>
            <w:vAlign w:val="center"/>
          </w:tcPr>
          <w:p w14:paraId="38DDFFC0" w14:textId="77777777" w:rsidR="0025680F" w:rsidRDefault="00D201ED">
            <w:pPr>
              <w:snapToGrid w:val="0"/>
              <w:jc w:val="center"/>
              <w:rPr>
                <w:bCs/>
                <w:sz w:val="15"/>
                <w:szCs w:val="15"/>
              </w:rPr>
            </w:pPr>
            <w:r>
              <w:rPr>
                <w:rFonts w:hint="eastAsia"/>
                <w:bCs/>
                <w:sz w:val="15"/>
                <w:szCs w:val="15"/>
              </w:rPr>
              <w:t>国泰航空</w:t>
            </w:r>
          </w:p>
        </w:tc>
        <w:tc>
          <w:tcPr>
            <w:tcW w:w="805" w:type="dxa"/>
            <w:tcBorders>
              <w:top w:val="nil"/>
              <w:left w:val="nil"/>
              <w:bottom w:val="nil"/>
              <w:right w:val="nil"/>
            </w:tcBorders>
            <w:shd w:val="clear" w:color="auto" w:fill="auto"/>
            <w:noWrap/>
            <w:vAlign w:val="center"/>
          </w:tcPr>
          <w:p w14:paraId="66533280" w14:textId="77777777" w:rsidR="0025680F" w:rsidRDefault="00D201ED">
            <w:pPr>
              <w:snapToGrid w:val="0"/>
              <w:jc w:val="center"/>
              <w:rPr>
                <w:bCs/>
                <w:sz w:val="15"/>
                <w:szCs w:val="15"/>
              </w:rPr>
            </w:pPr>
            <w:r>
              <w:rPr>
                <w:rFonts w:hint="eastAsia"/>
                <w:bCs/>
                <w:sz w:val="15"/>
                <w:szCs w:val="15"/>
              </w:rPr>
              <w:t xml:space="preserve">80.00 </w:t>
            </w:r>
          </w:p>
        </w:tc>
        <w:tc>
          <w:tcPr>
            <w:tcW w:w="752" w:type="dxa"/>
            <w:tcBorders>
              <w:top w:val="nil"/>
              <w:left w:val="nil"/>
              <w:bottom w:val="nil"/>
              <w:right w:val="nil"/>
            </w:tcBorders>
            <w:shd w:val="clear" w:color="auto" w:fill="auto"/>
            <w:noWrap/>
            <w:vAlign w:val="center"/>
          </w:tcPr>
          <w:p w14:paraId="0DFEF9A2" w14:textId="77777777" w:rsidR="0025680F" w:rsidRDefault="00D201ED">
            <w:pPr>
              <w:snapToGrid w:val="0"/>
              <w:jc w:val="center"/>
              <w:rPr>
                <w:bCs/>
                <w:sz w:val="15"/>
                <w:szCs w:val="15"/>
              </w:rPr>
            </w:pPr>
            <w:r>
              <w:rPr>
                <w:rFonts w:hint="eastAsia"/>
                <w:bCs/>
                <w:sz w:val="15"/>
                <w:szCs w:val="15"/>
              </w:rPr>
              <w:t xml:space="preserve">40.00 </w:t>
            </w:r>
          </w:p>
        </w:tc>
        <w:tc>
          <w:tcPr>
            <w:tcW w:w="846" w:type="dxa"/>
            <w:tcBorders>
              <w:top w:val="nil"/>
              <w:left w:val="nil"/>
              <w:bottom w:val="nil"/>
              <w:right w:val="nil"/>
            </w:tcBorders>
            <w:shd w:val="clear" w:color="auto" w:fill="auto"/>
            <w:noWrap/>
            <w:vAlign w:val="center"/>
          </w:tcPr>
          <w:p w14:paraId="12A4EA81" w14:textId="77777777" w:rsidR="0025680F" w:rsidRDefault="00D201ED">
            <w:pPr>
              <w:snapToGrid w:val="0"/>
              <w:jc w:val="center"/>
              <w:rPr>
                <w:bCs/>
                <w:sz w:val="15"/>
                <w:szCs w:val="15"/>
              </w:rPr>
            </w:pPr>
            <w:r>
              <w:rPr>
                <w:rFonts w:hint="eastAsia"/>
                <w:bCs/>
                <w:sz w:val="15"/>
                <w:szCs w:val="15"/>
              </w:rPr>
              <w:t xml:space="preserve">60.00 </w:t>
            </w:r>
          </w:p>
        </w:tc>
        <w:tc>
          <w:tcPr>
            <w:tcW w:w="816" w:type="dxa"/>
            <w:tcBorders>
              <w:top w:val="nil"/>
              <w:left w:val="nil"/>
              <w:bottom w:val="nil"/>
              <w:right w:val="nil"/>
            </w:tcBorders>
            <w:shd w:val="clear" w:color="auto" w:fill="auto"/>
            <w:noWrap/>
            <w:vAlign w:val="center"/>
          </w:tcPr>
          <w:p w14:paraId="1B78E7F1" w14:textId="77777777" w:rsidR="0025680F" w:rsidRDefault="00D201ED">
            <w:pPr>
              <w:snapToGrid w:val="0"/>
              <w:jc w:val="center"/>
              <w:rPr>
                <w:bCs/>
                <w:sz w:val="15"/>
                <w:szCs w:val="15"/>
              </w:rPr>
            </w:pPr>
            <w:r>
              <w:rPr>
                <w:rFonts w:hint="eastAsia"/>
                <w:bCs/>
                <w:sz w:val="15"/>
                <w:szCs w:val="15"/>
              </w:rPr>
              <w:t xml:space="preserve">40.00 </w:t>
            </w:r>
          </w:p>
        </w:tc>
        <w:tc>
          <w:tcPr>
            <w:tcW w:w="831" w:type="dxa"/>
            <w:tcBorders>
              <w:top w:val="nil"/>
              <w:left w:val="nil"/>
              <w:bottom w:val="nil"/>
              <w:right w:val="nil"/>
            </w:tcBorders>
            <w:shd w:val="clear" w:color="auto" w:fill="auto"/>
            <w:noWrap/>
            <w:vAlign w:val="center"/>
          </w:tcPr>
          <w:p w14:paraId="29ECE82E" w14:textId="77777777" w:rsidR="0025680F" w:rsidRDefault="00D201ED">
            <w:pPr>
              <w:snapToGrid w:val="0"/>
              <w:jc w:val="center"/>
              <w:rPr>
                <w:bCs/>
                <w:sz w:val="15"/>
                <w:szCs w:val="15"/>
              </w:rPr>
            </w:pPr>
            <w:r>
              <w:rPr>
                <w:rFonts w:hint="eastAsia"/>
                <w:bCs/>
                <w:sz w:val="15"/>
                <w:szCs w:val="15"/>
              </w:rPr>
              <w:t xml:space="preserve">70.00 </w:t>
            </w:r>
          </w:p>
        </w:tc>
        <w:tc>
          <w:tcPr>
            <w:tcW w:w="831" w:type="dxa"/>
            <w:tcBorders>
              <w:top w:val="nil"/>
              <w:left w:val="nil"/>
              <w:bottom w:val="nil"/>
              <w:right w:val="nil"/>
            </w:tcBorders>
            <w:shd w:val="clear" w:color="auto" w:fill="auto"/>
            <w:noWrap/>
            <w:vAlign w:val="center"/>
          </w:tcPr>
          <w:p w14:paraId="0711619D" w14:textId="77777777" w:rsidR="0025680F" w:rsidRDefault="00D201ED">
            <w:pPr>
              <w:snapToGrid w:val="0"/>
              <w:jc w:val="center"/>
              <w:rPr>
                <w:bCs/>
                <w:sz w:val="15"/>
                <w:szCs w:val="15"/>
              </w:rPr>
            </w:pPr>
            <w:r>
              <w:rPr>
                <w:rFonts w:hint="eastAsia"/>
                <w:bCs/>
                <w:sz w:val="15"/>
                <w:szCs w:val="15"/>
              </w:rPr>
              <w:t xml:space="preserve">60.00 </w:t>
            </w:r>
          </w:p>
        </w:tc>
        <w:tc>
          <w:tcPr>
            <w:tcW w:w="831" w:type="dxa"/>
            <w:tcBorders>
              <w:top w:val="nil"/>
              <w:left w:val="nil"/>
              <w:bottom w:val="nil"/>
              <w:right w:val="nil"/>
            </w:tcBorders>
            <w:shd w:val="clear" w:color="auto" w:fill="auto"/>
            <w:noWrap/>
            <w:vAlign w:val="center"/>
          </w:tcPr>
          <w:p w14:paraId="2D5D5526" w14:textId="77777777" w:rsidR="0025680F" w:rsidRDefault="00D201ED">
            <w:pPr>
              <w:snapToGrid w:val="0"/>
              <w:jc w:val="center"/>
              <w:rPr>
                <w:bCs/>
                <w:sz w:val="15"/>
                <w:szCs w:val="15"/>
              </w:rPr>
            </w:pPr>
            <w:r>
              <w:rPr>
                <w:rFonts w:hint="eastAsia"/>
                <w:bCs/>
                <w:sz w:val="15"/>
                <w:szCs w:val="15"/>
              </w:rPr>
              <w:t xml:space="preserve">50.00 </w:t>
            </w:r>
          </w:p>
        </w:tc>
        <w:tc>
          <w:tcPr>
            <w:tcW w:w="831" w:type="dxa"/>
            <w:tcBorders>
              <w:top w:val="nil"/>
              <w:left w:val="nil"/>
              <w:bottom w:val="nil"/>
              <w:right w:val="nil"/>
            </w:tcBorders>
            <w:shd w:val="clear" w:color="auto" w:fill="auto"/>
            <w:noWrap/>
            <w:vAlign w:val="center"/>
          </w:tcPr>
          <w:p w14:paraId="2BF304E4" w14:textId="77777777" w:rsidR="0025680F" w:rsidRDefault="00D201ED">
            <w:pPr>
              <w:snapToGrid w:val="0"/>
              <w:jc w:val="center"/>
              <w:rPr>
                <w:bCs/>
                <w:sz w:val="15"/>
                <w:szCs w:val="15"/>
              </w:rPr>
            </w:pPr>
            <w:r>
              <w:rPr>
                <w:rFonts w:hint="eastAsia"/>
                <w:bCs/>
                <w:sz w:val="15"/>
                <w:szCs w:val="15"/>
              </w:rPr>
              <w:t xml:space="preserve">50.00 </w:t>
            </w:r>
          </w:p>
        </w:tc>
        <w:tc>
          <w:tcPr>
            <w:tcW w:w="831" w:type="dxa"/>
            <w:tcBorders>
              <w:top w:val="nil"/>
              <w:left w:val="nil"/>
              <w:bottom w:val="nil"/>
              <w:right w:val="nil"/>
            </w:tcBorders>
            <w:shd w:val="clear" w:color="auto" w:fill="auto"/>
            <w:noWrap/>
            <w:vAlign w:val="center"/>
          </w:tcPr>
          <w:p w14:paraId="2BB9C01D" w14:textId="77777777" w:rsidR="0025680F" w:rsidRDefault="00D201ED">
            <w:pPr>
              <w:snapToGrid w:val="0"/>
              <w:jc w:val="center"/>
              <w:rPr>
                <w:bCs/>
                <w:sz w:val="15"/>
                <w:szCs w:val="15"/>
              </w:rPr>
            </w:pPr>
            <w:r>
              <w:rPr>
                <w:rFonts w:hint="eastAsia"/>
                <w:bCs/>
                <w:sz w:val="15"/>
                <w:szCs w:val="15"/>
              </w:rPr>
              <w:t xml:space="preserve">70.00 </w:t>
            </w:r>
          </w:p>
        </w:tc>
        <w:tc>
          <w:tcPr>
            <w:tcW w:w="831" w:type="dxa"/>
            <w:tcBorders>
              <w:top w:val="nil"/>
              <w:left w:val="nil"/>
              <w:bottom w:val="nil"/>
              <w:right w:val="nil"/>
            </w:tcBorders>
            <w:shd w:val="clear" w:color="auto" w:fill="auto"/>
            <w:noWrap/>
            <w:vAlign w:val="center"/>
          </w:tcPr>
          <w:p w14:paraId="3B713E9E" w14:textId="77777777" w:rsidR="0025680F" w:rsidRDefault="00D201ED">
            <w:pPr>
              <w:snapToGrid w:val="0"/>
              <w:jc w:val="center"/>
              <w:rPr>
                <w:bCs/>
                <w:sz w:val="15"/>
                <w:szCs w:val="15"/>
              </w:rPr>
            </w:pPr>
            <w:r>
              <w:rPr>
                <w:rFonts w:hint="eastAsia"/>
                <w:bCs/>
                <w:sz w:val="15"/>
                <w:szCs w:val="15"/>
              </w:rPr>
              <w:t xml:space="preserve">4.00 </w:t>
            </w:r>
          </w:p>
        </w:tc>
        <w:tc>
          <w:tcPr>
            <w:tcW w:w="765" w:type="dxa"/>
            <w:tcBorders>
              <w:top w:val="nil"/>
              <w:left w:val="nil"/>
              <w:bottom w:val="nil"/>
              <w:right w:val="nil"/>
            </w:tcBorders>
            <w:shd w:val="clear" w:color="auto" w:fill="auto"/>
            <w:noWrap/>
            <w:vAlign w:val="center"/>
          </w:tcPr>
          <w:p w14:paraId="5EBD4161" w14:textId="77777777" w:rsidR="0025680F" w:rsidRDefault="00D201ED">
            <w:pPr>
              <w:snapToGrid w:val="0"/>
              <w:jc w:val="center"/>
              <w:rPr>
                <w:bCs/>
                <w:sz w:val="15"/>
                <w:szCs w:val="15"/>
              </w:rPr>
            </w:pPr>
            <w:r>
              <w:rPr>
                <w:rFonts w:hint="eastAsia"/>
                <w:bCs/>
                <w:sz w:val="15"/>
                <w:szCs w:val="15"/>
              </w:rPr>
              <w:t xml:space="preserve">0.40 </w:t>
            </w:r>
          </w:p>
        </w:tc>
        <w:tc>
          <w:tcPr>
            <w:tcW w:w="821" w:type="dxa"/>
            <w:tcBorders>
              <w:top w:val="nil"/>
              <w:left w:val="nil"/>
              <w:bottom w:val="nil"/>
              <w:right w:val="nil"/>
            </w:tcBorders>
            <w:shd w:val="clear" w:color="auto" w:fill="auto"/>
            <w:noWrap/>
            <w:vAlign w:val="center"/>
          </w:tcPr>
          <w:p w14:paraId="79BCAC51" w14:textId="77777777" w:rsidR="0025680F" w:rsidRDefault="00D201ED">
            <w:pPr>
              <w:snapToGrid w:val="0"/>
              <w:jc w:val="center"/>
              <w:rPr>
                <w:bCs/>
                <w:sz w:val="15"/>
                <w:szCs w:val="15"/>
              </w:rPr>
            </w:pPr>
            <w:r>
              <w:rPr>
                <w:rFonts w:hint="eastAsia"/>
                <w:bCs/>
                <w:sz w:val="15"/>
                <w:szCs w:val="15"/>
              </w:rPr>
              <w:t xml:space="preserve">46.40 </w:t>
            </w:r>
          </w:p>
        </w:tc>
      </w:tr>
      <w:tr w:rsidR="0025680F" w14:paraId="62CC6FFC" w14:textId="77777777">
        <w:trPr>
          <w:jc w:val="center"/>
        </w:trPr>
        <w:tc>
          <w:tcPr>
            <w:tcW w:w="1077" w:type="dxa"/>
            <w:tcBorders>
              <w:top w:val="nil"/>
              <w:left w:val="nil"/>
              <w:bottom w:val="nil"/>
              <w:right w:val="nil"/>
            </w:tcBorders>
            <w:shd w:val="clear" w:color="auto" w:fill="auto"/>
            <w:noWrap/>
            <w:vAlign w:val="center"/>
          </w:tcPr>
          <w:p w14:paraId="25335948" w14:textId="77777777" w:rsidR="0025680F" w:rsidRDefault="00D201ED">
            <w:pPr>
              <w:snapToGrid w:val="0"/>
              <w:jc w:val="center"/>
              <w:rPr>
                <w:bCs/>
                <w:sz w:val="15"/>
                <w:szCs w:val="15"/>
              </w:rPr>
            </w:pPr>
            <w:r>
              <w:rPr>
                <w:rFonts w:hint="eastAsia"/>
                <w:bCs/>
                <w:sz w:val="15"/>
                <w:szCs w:val="15"/>
              </w:rPr>
              <w:t>中国商用飞机有限责任公司</w:t>
            </w:r>
          </w:p>
        </w:tc>
        <w:tc>
          <w:tcPr>
            <w:tcW w:w="805" w:type="dxa"/>
            <w:tcBorders>
              <w:top w:val="nil"/>
              <w:left w:val="nil"/>
              <w:bottom w:val="nil"/>
              <w:right w:val="nil"/>
            </w:tcBorders>
            <w:shd w:val="clear" w:color="auto" w:fill="auto"/>
            <w:noWrap/>
            <w:vAlign w:val="center"/>
          </w:tcPr>
          <w:p w14:paraId="557E011B" w14:textId="77777777" w:rsidR="0025680F" w:rsidRDefault="00D201ED">
            <w:pPr>
              <w:snapToGrid w:val="0"/>
              <w:jc w:val="center"/>
              <w:rPr>
                <w:bCs/>
                <w:sz w:val="15"/>
                <w:szCs w:val="15"/>
              </w:rPr>
            </w:pPr>
            <w:r>
              <w:rPr>
                <w:rFonts w:hint="eastAsia"/>
                <w:bCs/>
                <w:sz w:val="15"/>
                <w:szCs w:val="15"/>
              </w:rPr>
              <w:t xml:space="preserve">80.00 </w:t>
            </w:r>
          </w:p>
        </w:tc>
        <w:tc>
          <w:tcPr>
            <w:tcW w:w="752" w:type="dxa"/>
            <w:tcBorders>
              <w:top w:val="nil"/>
              <w:left w:val="nil"/>
              <w:bottom w:val="nil"/>
              <w:right w:val="nil"/>
            </w:tcBorders>
            <w:shd w:val="clear" w:color="auto" w:fill="auto"/>
            <w:noWrap/>
            <w:vAlign w:val="center"/>
          </w:tcPr>
          <w:p w14:paraId="0080A36C" w14:textId="77777777" w:rsidR="0025680F" w:rsidRDefault="00D201ED">
            <w:pPr>
              <w:snapToGrid w:val="0"/>
              <w:jc w:val="center"/>
              <w:rPr>
                <w:bCs/>
                <w:sz w:val="15"/>
                <w:szCs w:val="15"/>
              </w:rPr>
            </w:pPr>
            <w:r>
              <w:rPr>
                <w:rFonts w:hint="eastAsia"/>
                <w:bCs/>
                <w:sz w:val="15"/>
                <w:szCs w:val="15"/>
              </w:rPr>
              <w:t xml:space="preserve">70.00 </w:t>
            </w:r>
          </w:p>
        </w:tc>
        <w:tc>
          <w:tcPr>
            <w:tcW w:w="846" w:type="dxa"/>
            <w:tcBorders>
              <w:top w:val="nil"/>
              <w:left w:val="nil"/>
              <w:bottom w:val="nil"/>
              <w:right w:val="nil"/>
            </w:tcBorders>
            <w:shd w:val="clear" w:color="auto" w:fill="auto"/>
            <w:noWrap/>
            <w:vAlign w:val="center"/>
          </w:tcPr>
          <w:p w14:paraId="2B82FCD4" w14:textId="77777777" w:rsidR="0025680F" w:rsidRDefault="00D201ED">
            <w:pPr>
              <w:snapToGrid w:val="0"/>
              <w:jc w:val="center"/>
              <w:rPr>
                <w:bCs/>
                <w:sz w:val="15"/>
                <w:szCs w:val="15"/>
              </w:rPr>
            </w:pPr>
            <w:r>
              <w:rPr>
                <w:rFonts w:hint="eastAsia"/>
                <w:bCs/>
                <w:sz w:val="15"/>
                <w:szCs w:val="15"/>
              </w:rPr>
              <w:t xml:space="preserve">60.00 </w:t>
            </w:r>
          </w:p>
        </w:tc>
        <w:tc>
          <w:tcPr>
            <w:tcW w:w="816" w:type="dxa"/>
            <w:tcBorders>
              <w:top w:val="nil"/>
              <w:left w:val="nil"/>
              <w:bottom w:val="nil"/>
              <w:right w:val="nil"/>
            </w:tcBorders>
            <w:shd w:val="clear" w:color="auto" w:fill="auto"/>
            <w:noWrap/>
            <w:vAlign w:val="center"/>
          </w:tcPr>
          <w:p w14:paraId="2ACF37AB" w14:textId="77777777" w:rsidR="0025680F" w:rsidRDefault="00D201ED">
            <w:pPr>
              <w:snapToGrid w:val="0"/>
              <w:jc w:val="center"/>
              <w:rPr>
                <w:bCs/>
                <w:sz w:val="15"/>
                <w:szCs w:val="15"/>
              </w:rPr>
            </w:pPr>
            <w:r>
              <w:rPr>
                <w:rFonts w:hint="eastAsia"/>
                <w:bCs/>
                <w:sz w:val="15"/>
                <w:szCs w:val="15"/>
              </w:rPr>
              <w:t xml:space="preserve">30.00 </w:t>
            </w:r>
          </w:p>
        </w:tc>
        <w:tc>
          <w:tcPr>
            <w:tcW w:w="831" w:type="dxa"/>
            <w:tcBorders>
              <w:top w:val="nil"/>
              <w:left w:val="nil"/>
              <w:bottom w:val="nil"/>
              <w:right w:val="nil"/>
            </w:tcBorders>
            <w:shd w:val="clear" w:color="auto" w:fill="auto"/>
            <w:noWrap/>
            <w:vAlign w:val="center"/>
          </w:tcPr>
          <w:p w14:paraId="2D822083" w14:textId="77777777" w:rsidR="0025680F" w:rsidRDefault="00D201ED">
            <w:pPr>
              <w:snapToGrid w:val="0"/>
              <w:jc w:val="center"/>
              <w:rPr>
                <w:bCs/>
                <w:sz w:val="15"/>
                <w:szCs w:val="15"/>
              </w:rPr>
            </w:pPr>
            <w:r>
              <w:rPr>
                <w:rFonts w:hint="eastAsia"/>
                <w:bCs/>
                <w:sz w:val="15"/>
                <w:szCs w:val="15"/>
              </w:rPr>
              <w:t xml:space="preserve">80.00 </w:t>
            </w:r>
          </w:p>
        </w:tc>
        <w:tc>
          <w:tcPr>
            <w:tcW w:w="831" w:type="dxa"/>
            <w:tcBorders>
              <w:top w:val="nil"/>
              <w:left w:val="nil"/>
              <w:bottom w:val="nil"/>
              <w:right w:val="nil"/>
            </w:tcBorders>
            <w:shd w:val="clear" w:color="auto" w:fill="auto"/>
            <w:noWrap/>
            <w:vAlign w:val="center"/>
          </w:tcPr>
          <w:p w14:paraId="43F90017" w14:textId="77777777" w:rsidR="0025680F" w:rsidRDefault="00D201ED">
            <w:pPr>
              <w:snapToGrid w:val="0"/>
              <w:jc w:val="center"/>
              <w:rPr>
                <w:bCs/>
                <w:sz w:val="15"/>
                <w:szCs w:val="15"/>
              </w:rPr>
            </w:pPr>
            <w:r>
              <w:rPr>
                <w:rFonts w:hint="eastAsia"/>
                <w:bCs/>
                <w:sz w:val="15"/>
                <w:szCs w:val="15"/>
              </w:rPr>
              <w:t xml:space="preserve">20.00 </w:t>
            </w:r>
          </w:p>
        </w:tc>
        <w:tc>
          <w:tcPr>
            <w:tcW w:w="831" w:type="dxa"/>
            <w:tcBorders>
              <w:top w:val="nil"/>
              <w:left w:val="nil"/>
              <w:bottom w:val="nil"/>
              <w:right w:val="nil"/>
            </w:tcBorders>
            <w:shd w:val="clear" w:color="auto" w:fill="auto"/>
            <w:noWrap/>
            <w:vAlign w:val="center"/>
          </w:tcPr>
          <w:p w14:paraId="5AEAC6F1" w14:textId="77777777" w:rsidR="0025680F" w:rsidRDefault="00D201ED">
            <w:pPr>
              <w:snapToGrid w:val="0"/>
              <w:jc w:val="center"/>
              <w:rPr>
                <w:bCs/>
                <w:sz w:val="15"/>
                <w:szCs w:val="15"/>
              </w:rPr>
            </w:pPr>
            <w:r>
              <w:rPr>
                <w:rFonts w:hint="eastAsia"/>
                <w:bCs/>
                <w:sz w:val="15"/>
                <w:szCs w:val="15"/>
              </w:rPr>
              <w:t xml:space="preserve">50.00 </w:t>
            </w:r>
          </w:p>
        </w:tc>
        <w:tc>
          <w:tcPr>
            <w:tcW w:w="831" w:type="dxa"/>
            <w:tcBorders>
              <w:top w:val="nil"/>
              <w:left w:val="nil"/>
              <w:bottom w:val="nil"/>
              <w:right w:val="nil"/>
            </w:tcBorders>
            <w:shd w:val="clear" w:color="auto" w:fill="auto"/>
            <w:noWrap/>
            <w:vAlign w:val="center"/>
          </w:tcPr>
          <w:p w14:paraId="6FFAA1A9" w14:textId="77777777" w:rsidR="0025680F" w:rsidRDefault="00D201ED">
            <w:pPr>
              <w:snapToGrid w:val="0"/>
              <w:jc w:val="center"/>
              <w:rPr>
                <w:bCs/>
                <w:sz w:val="15"/>
                <w:szCs w:val="15"/>
              </w:rPr>
            </w:pPr>
            <w:r>
              <w:rPr>
                <w:rFonts w:hint="eastAsia"/>
                <w:bCs/>
                <w:sz w:val="15"/>
                <w:szCs w:val="15"/>
              </w:rPr>
              <w:t xml:space="preserve">45.00 </w:t>
            </w:r>
          </w:p>
        </w:tc>
        <w:tc>
          <w:tcPr>
            <w:tcW w:w="831" w:type="dxa"/>
            <w:tcBorders>
              <w:top w:val="nil"/>
              <w:left w:val="nil"/>
              <w:bottom w:val="nil"/>
              <w:right w:val="nil"/>
            </w:tcBorders>
            <w:shd w:val="clear" w:color="auto" w:fill="auto"/>
            <w:noWrap/>
            <w:vAlign w:val="center"/>
          </w:tcPr>
          <w:p w14:paraId="7D15D0F7" w14:textId="77777777" w:rsidR="0025680F" w:rsidRDefault="00D201ED">
            <w:pPr>
              <w:snapToGrid w:val="0"/>
              <w:jc w:val="center"/>
              <w:rPr>
                <w:bCs/>
                <w:sz w:val="15"/>
                <w:szCs w:val="15"/>
              </w:rPr>
            </w:pPr>
            <w:r>
              <w:rPr>
                <w:rFonts w:hint="eastAsia"/>
                <w:bCs/>
                <w:sz w:val="15"/>
                <w:szCs w:val="15"/>
              </w:rPr>
              <w:t xml:space="preserve">80.00 </w:t>
            </w:r>
          </w:p>
        </w:tc>
        <w:tc>
          <w:tcPr>
            <w:tcW w:w="831" w:type="dxa"/>
            <w:tcBorders>
              <w:top w:val="nil"/>
              <w:left w:val="nil"/>
              <w:bottom w:val="nil"/>
              <w:right w:val="nil"/>
            </w:tcBorders>
            <w:shd w:val="clear" w:color="auto" w:fill="auto"/>
            <w:noWrap/>
            <w:vAlign w:val="center"/>
          </w:tcPr>
          <w:p w14:paraId="129062A1" w14:textId="77777777" w:rsidR="0025680F" w:rsidRDefault="00D201ED">
            <w:pPr>
              <w:snapToGrid w:val="0"/>
              <w:jc w:val="center"/>
              <w:rPr>
                <w:bCs/>
                <w:sz w:val="15"/>
                <w:szCs w:val="15"/>
              </w:rPr>
            </w:pPr>
            <w:r>
              <w:rPr>
                <w:rFonts w:hint="eastAsia"/>
                <w:bCs/>
                <w:sz w:val="15"/>
                <w:szCs w:val="15"/>
              </w:rPr>
              <w:t xml:space="preserve">5.00 </w:t>
            </w:r>
          </w:p>
        </w:tc>
        <w:tc>
          <w:tcPr>
            <w:tcW w:w="765" w:type="dxa"/>
            <w:tcBorders>
              <w:top w:val="nil"/>
              <w:left w:val="nil"/>
              <w:bottom w:val="nil"/>
              <w:right w:val="nil"/>
            </w:tcBorders>
            <w:shd w:val="clear" w:color="auto" w:fill="auto"/>
            <w:noWrap/>
            <w:vAlign w:val="center"/>
          </w:tcPr>
          <w:p w14:paraId="54238AD2" w14:textId="77777777" w:rsidR="0025680F" w:rsidRDefault="00D201ED">
            <w:pPr>
              <w:snapToGrid w:val="0"/>
              <w:jc w:val="center"/>
              <w:rPr>
                <w:bCs/>
                <w:sz w:val="15"/>
                <w:szCs w:val="15"/>
              </w:rPr>
            </w:pPr>
            <w:r>
              <w:rPr>
                <w:rFonts w:hint="eastAsia"/>
                <w:bCs/>
                <w:sz w:val="15"/>
                <w:szCs w:val="15"/>
              </w:rPr>
              <w:t xml:space="preserve">0.30 </w:t>
            </w:r>
          </w:p>
        </w:tc>
        <w:tc>
          <w:tcPr>
            <w:tcW w:w="821" w:type="dxa"/>
            <w:tcBorders>
              <w:top w:val="nil"/>
              <w:left w:val="nil"/>
              <w:bottom w:val="nil"/>
              <w:right w:val="nil"/>
            </w:tcBorders>
            <w:shd w:val="clear" w:color="auto" w:fill="auto"/>
            <w:noWrap/>
            <w:vAlign w:val="center"/>
          </w:tcPr>
          <w:p w14:paraId="4B4975D9" w14:textId="77777777" w:rsidR="0025680F" w:rsidRDefault="00D201ED">
            <w:pPr>
              <w:snapToGrid w:val="0"/>
              <w:jc w:val="center"/>
              <w:rPr>
                <w:bCs/>
                <w:sz w:val="15"/>
                <w:szCs w:val="15"/>
              </w:rPr>
            </w:pPr>
            <w:r>
              <w:rPr>
                <w:rFonts w:hint="eastAsia"/>
                <w:bCs/>
                <w:sz w:val="15"/>
                <w:szCs w:val="15"/>
              </w:rPr>
              <w:t xml:space="preserve">44.61 </w:t>
            </w:r>
          </w:p>
        </w:tc>
      </w:tr>
      <w:tr w:rsidR="0025680F" w14:paraId="53C9B749" w14:textId="77777777">
        <w:trPr>
          <w:jc w:val="center"/>
        </w:trPr>
        <w:tc>
          <w:tcPr>
            <w:tcW w:w="1077" w:type="dxa"/>
            <w:tcBorders>
              <w:top w:val="nil"/>
              <w:left w:val="nil"/>
              <w:right w:val="nil"/>
            </w:tcBorders>
            <w:shd w:val="clear" w:color="auto" w:fill="auto"/>
            <w:noWrap/>
            <w:vAlign w:val="center"/>
          </w:tcPr>
          <w:p w14:paraId="74656DAD" w14:textId="77777777" w:rsidR="0025680F" w:rsidRDefault="00D201ED">
            <w:pPr>
              <w:snapToGrid w:val="0"/>
              <w:jc w:val="center"/>
              <w:rPr>
                <w:bCs/>
                <w:sz w:val="15"/>
                <w:szCs w:val="15"/>
              </w:rPr>
            </w:pPr>
            <w:r>
              <w:rPr>
                <w:rFonts w:hint="eastAsia"/>
                <w:bCs/>
                <w:sz w:val="15"/>
                <w:szCs w:val="15"/>
              </w:rPr>
              <w:t>四川航空</w:t>
            </w:r>
          </w:p>
        </w:tc>
        <w:tc>
          <w:tcPr>
            <w:tcW w:w="805" w:type="dxa"/>
            <w:tcBorders>
              <w:top w:val="nil"/>
              <w:left w:val="nil"/>
              <w:right w:val="nil"/>
            </w:tcBorders>
            <w:shd w:val="clear" w:color="auto" w:fill="auto"/>
            <w:noWrap/>
            <w:vAlign w:val="center"/>
          </w:tcPr>
          <w:p w14:paraId="79DB08FE" w14:textId="77777777" w:rsidR="0025680F" w:rsidRDefault="00D201ED">
            <w:pPr>
              <w:snapToGrid w:val="0"/>
              <w:jc w:val="center"/>
              <w:rPr>
                <w:bCs/>
                <w:sz w:val="15"/>
                <w:szCs w:val="15"/>
              </w:rPr>
            </w:pPr>
            <w:r>
              <w:rPr>
                <w:rFonts w:hint="eastAsia"/>
                <w:bCs/>
                <w:sz w:val="15"/>
                <w:szCs w:val="15"/>
              </w:rPr>
              <w:t xml:space="preserve">70.00 </w:t>
            </w:r>
          </w:p>
        </w:tc>
        <w:tc>
          <w:tcPr>
            <w:tcW w:w="752" w:type="dxa"/>
            <w:tcBorders>
              <w:top w:val="nil"/>
              <w:left w:val="nil"/>
              <w:right w:val="nil"/>
            </w:tcBorders>
            <w:shd w:val="clear" w:color="auto" w:fill="auto"/>
            <w:noWrap/>
            <w:vAlign w:val="center"/>
          </w:tcPr>
          <w:p w14:paraId="33E7F311" w14:textId="77777777" w:rsidR="0025680F" w:rsidRDefault="00D201ED">
            <w:pPr>
              <w:snapToGrid w:val="0"/>
              <w:jc w:val="center"/>
              <w:rPr>
                <w:bCs/>
                <w:sz w:val="15"/>
                <w:szCs w:val="15"/>
              </w:rPr>
            </w:pPr>
            <w:r>
              <w:rPr>
                <w:rFonts w:hint="eastAsia"/>
                <w:bCs/>
                <w:sz w:val="15"/>
                <w:szCs w:val="15"/>
              </w:rPr>
              <w:t xml:space="preserve">50.00 </w:t>
            </w:r>
          </w:p>
        </w:tc>
        <w:tc>
          <w:tcPr>
            <w:tcW w:w="846" w:type="dxa"/>
            <w:tcBorders>
              <w:top w:val="nil"/>
              <w:left w:val="nil"/>
              <w:right w:val="nil"/>
            </w:tcBorders>
            <w:shd w:val="clear" w:color="auto" w:fill="auto"/>
            <w:noWrap/>
            <w:vAlign w:val="center"/>
          </w:tcPr>
          <w:p w14:paraId="1AD7F32F" w14:textId="77777777" w:rsidR="0025680F" w:rsidRDefault="00D201ED">
            <w:pPr>
              <w:snapToGrid w:val="0"/>
              <w:jc w:val="center"/>
              <w:rPr>
                <w:bCs/>
                <w:sz w:val="15"/>
                <w:szCs w:val="15"/>
              </w:rPr>
            </w:pPr>
            <w:r>
              <w:rPr>
                <w:rFonts w:hint="eastAsia"/>
                <w:bCs/>
                <w:sz w:val="15"/>
                <w:szCs w:val="15"/>
              </w:rPr>
              <w:t xml:space="preserve">60.00 </w:t>
            </w:r>
          </w:p>
        </w:tc>
        <w:tc>
          <w:tcPr>
            <w:tcW w:w="816" w:type="dxa"/>
            <w:tcBorders>
              <w:top w:val="nil"/>
              <w:left w:val="nil"/>
              <w:right w:val="nil"/>
            </w:tcBorders>
            <w:shd w:val="clear" w:color="auto" w:fill="auto"/>
            <w:noWrap/>
            <w:vAlign w:val="center"/>
          </w:tcPr>
          <w:p w14:paraId="70E8357D" w14:textId="77777777" w:rsidR="0025680F" w:rsidRDefault="00D201ED">
            <w:pPr>
              <w:snapToGrid w:val="0"/>
              <w:jc w:val="center"/>
              <w:rPr>
                <w:bCs/>
                <w:sz w:val="15"/>
                <w:szCs w:val="15"/>
              </w:rPr>
            </w:pPr>
            <w:r>
              <w:rPr>
                <w:rFonts w:hint="eastAsia"/>
                <w:bCs/>
                <w:sz w:val="15"/>
                <w:szCs w:val="15"/>
              </w:rPr>
              <w:t xml:space="preserve">-20.00 </w:t>
            </w:r>
          </w:p>
        </w:tc>
        <w:tc>
          <w:tcPr>
            <w:tcW w:w="831" w:type="dxa"/>
            <w:tcBorders>
              <w:top w:val="nil"/>
              <w:left w:val="nil"/>
              <w:right w:val="nil"/>
            </w:tcBorders>
            <w:shd w:val="clear" w:color="auto" w:fill="auto"/>
            <w:noWrap/>
            <w:vAlign w:val="center"/>
          </w:tcPr>
          <w:p w14:paraId="68DC9F18" w14:textId="77777777" w:rsidR="0025680F" w:rsidRDefault="00D201ED">
            <w:pPr>
              <w:snapToGrid w:val="0"/>
              <w:jc w:val="center"/>
              <w:rPr>
                <w:bCs/>
                <w:sz w:val="15"/>
                <w:szCs w:val="15"/>
              </w:rPr>
            </w:pPr>
            <w:r>
              <w:rPr>
                <w:rFonts w:hint="eastAsia"/>
                <w:bCs/>
                <w:sz w:val="15"/>
                <w:szCs w:val="15"/>
              </w:rPr>
              <w:t xml:space="preserve">80.00 </w:t>
            </w:r>
          </w:p>
        </w:tc>
        <w:tc>
          <w:tcPr>
            <w:tcW w:w="831" w:type="dxa"/>
            <w:tcBorders>
              <w:top w:val="nil"/>
              <w:left w:val="nil"/>
              <w:right w:val="nil"/>
            </w:tcBorders>
            <w:shd w:val="clear" w:color="auto" w:fill="auto"/>
            <w:noWrap/>
            <w:vAlign w:val="center"/>
          </w:tcPr>
          <w:p w14:paraId="793B5D02" w14:textId="77777777" w:rsidR="0025680F" w:rsidRDefault="00D201ED">
            <w:pPr>
              <w:snapToGrid w:val="0"/>
              <w:jc w:val="center"/>
              <w:rPr>
                <w:bCs/>
                <w:sz w:val="15"/>
                <w:szCs w:val="15"/>
              </w:rPr>
            </w:pPr>
            <w:r>
              <w:rPr>
                <w:rFonts w:hint="eastAsia"/>
                <w:bCs/>
                <w:sz w:val="15"/>
                <w:szCs w:val="15"/>
              </w:rPr>
              <w:t xml:space="preserve">30.00 </w:t>
            </w:r>
          </w:p>
        </w:tc>
        <w:tc>
          <w:tcPr>
            <w:tcW w:w="831" w:type="dxa"/>
            <w:tcBorders>
              <w:top w:val="nil"/>
              <w:left w:val="nil"/>
              <w:right w:val="nil"/>
            </w:tcBorders>
            <w:shd w:val="clear" w:color="auto" w:fill="auto"/>
            <w:noWrap/>
            <w:vAlign w:val="center"/>
          </w:tcPr>
          <w:p w14:paraId="5EBE4061" w14:textId="77777777" w:rsidR="0025680F" w:rsidRDefault="00D201ED">
            <w:pPr>
              <w:snapToGrid w:val="0"/>
              <w:jc w:val="center"/>
              <w:rPr>
                <w:bCs/>
                <w:sz w:val="15"/>
                <w:szCs w:val="15"/>
              </w:rPr>
            </w:pPr>
            <w:r>
              <w:rPr>
                <w:rFonts w:hint="eastAsia"/>
                <w:bCs/>
                <w:sz w:val="15"/>
                <w:szCs w:val="15"/>
              </w:rPr>
              <w:t xml:space="preserve">30.00 </w:t>
            </w:r>
          </w:p>
        </w:tc>
        <w:tc>
          <w:tcPr>
            <w:tcW w:w="831" w:type="dxa"/>
            <w:tcBorders>
              <w:top w:val="nil"/>
              <w:left w:val="nil"/>
              <w:right w:val="nil"/>
            </w:tcBorders>
            <w:shd w:val="clear" w:color="auto" w:fill="auto"/>
            <w:noWrap/>
            <w:vAlign w:val="center"/>
          </w:tcPr>
          <w:p w14:paraId="4300151D" w14:textId="77777777" w:rsidR="0025680F" w:rsidRDefault="00D201ED">
            <w:pPr>
              <w:snapToGrid w:val="0"/>
              <w:jc w:val="center"/>
              <w:rPr>
                <w:bCs/>
                <w:sz w:val="15"/>
                <w:szCs w:val="15"/>
              </w:rPr>
            </w:pPr>
            <w:r>
              <w:rPr>
                <w:rFonts w:hint="eastAsia"/>
                <w:bCs/>
                <w:sz w:val="15"/>
                <w:szCs w:val="15"/>
              </w:rPr>
              <w:t xml:space="preserve">40.00 </w:t>
            </w:r>
          </w:p>
        </w:tc>
        <w:tc>
          <w:tcPr>
            <w:tcW w:w="831" w:type="dxa"/>
            <w:tcBorders>
              <w:top w:val="nil"/>
              <w:left w:val="nil"/>
              <w:right w:val="nil"/>
            </w:tcBorders>
            <w:shd w:val="clear" w:color="auto" w:fill="auto"/>
            <w:noWrap/>
            <w:vAlign w:val="center"/>
          </w:tcPr>
          <w:p w14:paraId="4C8A727F" w14:textId="77777777" w:rsidR="0025680F" w:rsidRDefault="00D201ED">
            <w:pPr>
              <w:snapToGrid w:val="0"/>
              <w:jc w:val="center"/>
              <w:rPr>
                <w:bCs/>
                <w:sz w:val="15"/>
                <w:szCs w:val="15"/>
              </w:rPr>
            </w:pPr>
            <w:r>
              <w:rPr>
                <w:rFonts w:hint="eastAsia"/>
                <w:bCs/>
                <w:sz w:val="15"/>
                <w:szCs w:val="15"/>
              </w:rPr>
              <w:t xml:space="preserve">60.00 </w:t>
            </w:r>
          </w:p>
        </w:tc>
        <w:tc>
          <w:tcPr>
            <w:tcW w:w="831" w:type="dxa"/>
            <w:tcBorders>
              <w:top w:val="nil"/>
              <w:left w:val="nil"/>
              <w:right w:val="nil"/>
            </w:tcBorders>
            <w:shd w:val="clear" w:color="auto" w:fill="auto"/>
            <w:noWrap/>
            <w:vAlign w:val="center"/>
          </w:tcPr>
          <w:p w14:paraId="58075765" w14:textId="77777777" w:rsidR="0025680F" w:rsidRDefault="00D201ED">
            <w:pPr>
              <w:snapToGrid w:val="0"/>
              <w:jc w:val="center"/>
              <w:rPr>
                <w:bCs/>
                <w:sz w:val="15"/>
                <w:szCs w:val="15"/>
              </w:rPr>
            </w:pPr>
            <w:r>
              <w:rPr>
                <w:rFonts w:hint="eastAsia"/>
                <w:bCs/>
                <w:sz w:val="15"/>
                <w:szCs w:val="15"/>
              </w:rPr>
              <w:t xml:space="preserve">7.00 </w:t>
            </w:r>
          </w:p>
        </w:tc>
        <w:tc>
          <w:tcPr>
            <w:tcW w:w="765" w:type="dxa"/>
            <w:tcBorders>
              <w:top w:val="nil"/>
              <w:left w:val="nil"/>
              <w:right w:val="nil"/>
            </w:tcBorders>
            <w:shd w:val="clear" w:color="auto" w:fill="auto"/>
            <w:noWrap/>
            <w:vAlign w:val="center"/>
          </w:tcPr>
          <w:p w14:paraId="532F6AD9" w14:textId="77777777" w:rsidR="0025680F" w:rsidRDefault="00D201ED">
            <w:pPr>
              <w:snapToGrid w:val="0"/>
              <w:jc w:val="center"/>
              <w:rPr>
                <w:bCs/>
                <w:sz w:val="15"/>
                <w:szCs w:val="15"/>
              </w:rPr>
            </w:pPr>
            <w:r>
              <w:rPr>
                <w:rFonts w:hint="eastAsia"/>
                <w:bCs/>
                <w:sz w:val="15"/>
                <w:szCs w:val="15"/>
              </w:rPr>
              <w:t xml:space="preserve">0.70 </w:t>
            </w:r>
          </w:p>
        </w:tc>
        <w:tc>
          <w:tcPr>
            <w:tcW w:w="821" w:type="dxa"/>
            <w:tcBorders>
              <w:top w:val="nil"/>
              <w:left w:val="nil"/>
              <w:right w:val="nil"/>
            </w:tcBorders>
            <w:shd w:val="clear" w:color="auto" w:fill="auto"/>
            <w:noWrap/>
            <w:vAlign w:val="center"/>
          </w:tcPr>
          <w:p w14:paraId="7B0D6075" w14:textId="77777777" w:rsidR="0025680F" w:rsidRDefault="00D201ED">
            <w:pPr>
              <w:snapToGrid w:val="0"/>
              <w:jc w:val="center"/>
              <w:rPr>
                <w:bCs/>
                <w:sz w:val="15"/>
                <w:szCs w:val="15"/>
              </w:rPr>
            </w:pPr>
            <w:r>
              <w:rPr>
                <w:rFonts w:hint="eastAsia"/>
                <w:bCs/>
                <w:sz w:val="15"/>
                <w:szCs w:val="15"/>
              </w:rPr>
              <w:t xml:space="preserve">44.40 </w:t>
            </w:r>
          </w:p>
        </w:tc>
      </w:tr>
    </w:tbl>
    <w:p w14:paraId="0720EC6C" w14:textId="77777777" w:rsidR="0025680F" w:rsidRDefault="00D201ED">
      <w:pPr>
        <w:rPr>
          <w:sz w:val="15"/>
          <w:szCs w:val="15"/>
        </w:rPr>
      </w:pPr>
      <w:r>
        <w:rPr>
          <w:rFonts w:hint="eastAsia"/>
          <w:sz w:val="15"/>
          <w:szCs w:val="15"/>
        </w:rPr>
        <w:t>资料来源：北京交通大学交通舆情研究中心危机事件库</w:t>
      </w:r>
    </w:p>
    <w:p w14:paraId="06A3AAAF" w14:textId="77777777" w:rsidR="0025680F" w:rsidRDefault="00D201ED">
      <w:r>
        <w:rPr>
          <w:rFonts w:hint="eastAsia"/>
          <w:noProof/>
        </w:rPr>
        <w:lastRenderedPageBreak/>
        <w:drawing>
          <wp:inline distT="0" distB="0" distL="114300" distR="114300">
            <wp:extent cx="5270500" cy="4896485"/>
            <wp:effectExtent l="0" t="0" r="10160" b="698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8"/>
                    <a:stretch>
                      <a:fillRect/>
                    </a:stretch>
                  </pic:blipFill>
                  <pic:spPr>
                    <a:xfrm>
                      <a:off x="0" y="0"/>
                      <a:ext cx="5270500" cy="4896485"/>
                    </a:xfrm>
                    <a:prstGeom prst="rect">
                      <a:avLst/>
                    </a:prstGeom>
                    <a:noFill/>
                    <a:ln>
                      <a:noFill/>
                    </a:ln>
                  </pic:spPr>
                </pic:pic>
              </a:graphicData>
            </a:graphic>
          </wp:inline>
        </w:drawing>
      </w:r>
    </w:p>
    <w:p w14:paraId="542DA77E" w14:textId="77777777" w:rsidR="0025680F" w:rsidRDefault="00D201ED">
      <w:pPr>
        <w:pStyle w:val="a3"/>
        <w:ind w:firstLineChars="200" w:firstLine="480"/>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t xml:space="preserve">2 </w:t>
      </w:r>
      <w:r>
        <w:rPr>
          <w:rFonts w:ascii="方正仿宋_GB2312" w:eastAsia="方正仿宋_GB2312" w:hAnsi="方正仿宋_GB2312" w:hint="eastAsia"/>
        </w:rPr>
        <w:t>航空公司危机应对能力雷达图</w:t>
      </w:r>
    </w:p>
    <w:p w14:paraId="120B11BC" w14:textId="77777777" w:rsidR="0025680F" w:rsidRDefault="00D201ED">
      <w:r>
        <w:rPr>
          <w:rFonts w:hint="eastAsia"/>
          <w:sz w:val="15"/>
          <w:szCs w:val="15"/>
        </w:rPr>
        <w:t>资料来源：北京交通大学交通舆情研究中心危机事件库</w:t>
      </w:r>
    </w:p>
    <w:p w14:paraId="42A84C2B" w14:textId="77777777" w:rsidR="0025680F" w:rsidRDefault="00D201ED">
      <w:pPr>
        <w:ind w:firstLineChars="200" w:firstLine="480"/>
      </w:pPr>
      <w:r>
        <w:rPr>
          <w:rFonts w:hint="eastAsia"/>
        </w:rPr>
        <w:t>中国东方航空以</w:t>
      </w:r>
      <w:r>
        <w:rPr>
          <w:rFonts w:hint="eastAsia"/>
        </w:rPr>
        <w:t>69.65</w:t>
      </w:r>
      <w:r>
        <w:rPr>
          <w:rFonts w:hint="eastAsia"/>
        </w:rPr>
        <w:t>分的综合得分位居航空公司危机应对能力榜首，其在发声时效性与道歉担责方面表现尤为突出，显示其能够在危机发生后快速响应，并主动承担责任，这在一定程度上缓和了公众情绪，降低了舆情进一步发酵的风险。中国东方航空在多数危机事件中能够实现快速响应，通常在事发后数小时内即通过官方渠道发布首份声明，有效抢占信息先机，遏制不实信息传播。在“东方航空</w:t>
      </w:r>
      <w:r>
        <w:rPr>
          <w:rFonts w:hint="eastAsia"/>
        </w:rPr>
        <w:t>MU738</w:t>
      </w:r>
      <w:r>
        <w:rPr>
          <w:rFonts w:hint="eastAsia"/>
        </w:rPr>
        <w:t>航班</w:t>
      </w:r>
      <w:r>
        <w:rPr>
          <w:rFonts w:hint="eastAsia"/>
        </w:rPr>
        <w:t>737-800</w:t>
      </w:r>
      <w:r>
        <w:rPr>
          <w:rFonts w:hint="eastAsia"/>
        </w:rPr>
        <w:t>客机备降”事件中，公司在事发后极短时间内发布权威通报，清晰阐述备降原因及机组应对措施，展现出专业的应急管理能力。更为关键的是，在</w:t>
      </w:r>
      <w:r>
        <w:rPr>
          <w:rFonts w:hint="eastAsia"/>
        </w:rPr>
        <w:t>多起突发事件中，中国东方航空均能主动承认责任并表达歉意，例如在“</w:t>
      </w:r>
      <w:r>
        <w:rPr>
          <w:rFonts w:hint="eastAsia"/>
        </w:rPr>
        <w:t>MU5735</w:t>
      </w:r>
      <w:r>
        <w:rPr>
          <w:rFonts w:hint="eastAsia"/>
        </w:rPr>
        <w:t>航班坠毁”这样的重大危机中，公司高层第一时间对外致歉，主动承担责任，并迅速启动家属援助机制，提供包括心理疏导、住宿安排和经济补偿在内的全方位支持，体现出在极端危机情境下的系统化应对能力和人文关怀意识。这种快速响应与主动担责相结合的策略，不仅有效阻止了谣言的扩散，也在极大程度上体现了企业对乘客及家属的人文关怀，为其赢得了公众一定程度的谅</w:t>
      </w:r>
      <w:r>
        <w:rPr>
          <w:rFonts w:hint="eastAsia"/>
        </w:rPr>
        <w:lastRenderedPageBreak/>
        <w:t>解。</w:t>
      </w:r>
    </w:p>
    <w:p w14:paraId="7A8E779D" w14:textId="77777777" w:rsidR="0025680F" w:rsidRDefault="00D201ED">
      <w:pPr>
        <w:ind w:firstLineChars="200" w:firstLine="480"/>
      </w:pPr>
      <w:r>
        <w:rPr>
          <w:rFonts w:hint="eastAsia"/>
        </w:rPr>
        <w:t>中国国际航空以</w:t>
      </w:r>
      <w:r>
        <w:rPr>
          <w:rFonts w:hint="eastAsia"/>
        </w:rPr>
        <w:t>62.44</w:t>
      </w:r>
      <w:r>
        <w:rPr>
          <w:rFonts w:hint="eastAsia"/>
        </w:rPr>
        <w:t>分位列第二，其在发布主体权威性、事实澄清和道歉担责等多项指标上均表现优异，显示出更为均衡的危机管理能力。中国国际航空高信誉度的发声来源、清晰的事实说明和诚恳的担责态度，有效维护了企业公信力。在</w:t>
      </w:r>
      <w:r>
        <w:rPr>
          <w:rFonts w:hint="eastAsia"/>
        </w:rPr>
        <w:t>2024</w:t>
      </w:r>
      <w:r>
        <w:rPr>
          <w:rFonts w:hint="eastAsia"/>
        </w:rPr>
        <w:t>年</w:t>
      </w:r>
      <w:r>
        <w:rPr>
          <w:rFonts w:hint="eastAsia"/>
        </w:rPr>
        <w:t>1</w:t>
      </w:r>
      <w:r>
        <w:rPr>
          <w:rFonts w:hint="eastAsia"/>
        </w:rPr>
        <w:t>月</w:t>
      </w:r>
      <w:r>
        <w:rPr>
          <w:rFonts w:hint="eastAsia"/>
        </w:rPr>
        <w:t>22</w:t>
      </w:r>
      <w:r>
        <w:rPr>
          <w:rFonts w:hint="eastAsia"/>
        </w:rPr>
        <w:t>日“</w:t>
      </w:r>
      <w:r>
        <w:rPr>
          <w:rFonts w:hint="eastAsia"/>
        </w:rPr>
        <w:t>CA1825</w:t>
      </w:r>
      <w:r>
        <w:rPr>
          <w:rFonts w:hint="eastAsia"/>
        </w:rPr>
        <w:t>航班前起落架安全销未拆导致返航”事件中，中国国际航空不仅由企业级账号第一时间发布权威通报，还通过“鱼爸晓说”等航空领域大</w:t>
      </w:r>
      <w:r>
        <w:rPr>
          <w:rFonts w:hint="eastAsia"/>
        </w:rPr>
        <w:t>V</w:t>
      </w:r>
      <w:r>
        <w:rPr>
          <w:rFonts w:hint="eastAsia"/>
        </w:rPr>
        <w:t>协同发声，迅速将“工作人员疏忽”的事实真相传达给公众。更为重要的是，声明中明确使用了“深表歉意”的措辞，并具体承诺“整改并追责”，展现出诚恳</w:t>
      </w:r>
      <w:r>
        <w:rPr>
          <w:rFonts w:hint="eastAsia"/>
        </w:rPr>
        <w:t>的担责态度。同样，在</w:t>
      </w:r>
      <w:r>
        <w:rPr>
          <w:rFonts w:hint="eastAsia"/>
        </w:rPr>
        <w:t>2023</w:t>
      </w:r>
      <w:r>
        <w:rPr>
          <w:rFonts w:hint="eastAsia"/>
        </w:rPr>
        <w:t>年发生的多起颠簸事件中，中国国际航空均能以企业级账号及时发声，在澄清事实的同时表明责任态度，多次使用“态度诚恳”的表述，使事件生存时间控制在</w:t>
      </w:r>
      <w:r>
        <w:rPr>
          <w:rFonts w:hint="eastAsia"/>
        </w:rPr>
        <w:t>3</w:t>
      </w:r>
      <w:r>
        <w:rPr>
          <w:rFonts w:hint="eastAsia"/>
        </w:rPr>
        <w:t>～</w:t>
      </w:r>
      <w:r>
        <w:rPr>
          <w:rFonts w:hint="eastAsia"/>
        </w:rPr>
        <w:t>6</w:t>
      </w:r>
      <w:r>
        <w:rPr>
          <w:rFonts w:hint="eastAsia"/>
        </w:rPr>
        <w:t>小时内，有效防止了次生舆情的发生。</w:t>
      </w:r>
    </w:p>
    <w:p w14:paraId="48D65244" w14:textId="77777777" w:rsidR="0025680F" w:rsidRDefault="00D201ED">
      <w:pPr>
        <w:ind w:firstLineChars="200" w:firstLine="480"/>
      </w:pPr>
      <w:r>
        <w:rPr>
          <w:rFonts w:hint="eastAsia"/>
        </w:rPr>
        <w:t>中国南方航空（</w:t>
      </w:r>
      <w:r>
        <w:rPr>
          <w:rFonts w:hint="eastAsia"/>
        </w:rPr>
        <w:t>47.65</w:t>
      </w:r>
      <w:r>
        <w:rPr>
          <w:rFonts w:hint="eastAsia"/>
        </w:rPr>
        <w:t>分）在发布主体和事实澄清方面表现优秀，显示出其信息发布主体权威、事实陈述清晰明确，有助于遏制不实信息的传播。在</w:t>
      </w:r>
      <w:r>
        <w:rPr>
          <w:rFonts w:hint="eastAsia"/>
        </w:rPr>
        <w:t>2022</w:t>
      </w:r>
      <w:r>
        <w:rPr>
          <w:rFonts w:hint="eastAsia"/>
        </w:rPr>
        <w:t>年“南航回应老人航班内排便致舱内环境污染”事件中，公司在事发后</w:t>
      </w:r>
      <w:r>
        <w:rPr>
          <w:rFonts w:hint="eastAsia"/>
        </w:rPr>
        <w:t>31</w:t>
      </w:r>
      <w:r>
        <w:rPr>
          <w:rFonts w:hint="eastAsia"/>
        </w:rPr>
        <w:t>小时内由企业级账号权威发声，通过</w:t>
      </w:r>
      <w:r>
        <w:rPr>
          <w:rFonts w:hint="eastAsia"/>
        </w:rPr>
        <w:t>@</w:t>
      </w:r>
      <w:r>
        <w:rPr>
          <w:rFonts w:hint="eastAsia"/>
        </w:rPr>
        <w:t>马上谈、</w:t>
      </w:r>
      <w:r>
        <w:rPr>
          <w:rFonts w:hint="eastAsia"/>
        </w:rPr>
        <w:t>@</w:t>
      </w:r>
      <w:r>
        <w:rPr>
          <w:rFonts w:hint="eastAsia"/>
        </w:rPr>
        <w:t>阿正悟理等航空领域大</w:t>
      </w:r>
      <w:r>
        <w:rPr>
          <w:rFonts w:hint="eastAsia"/>
        </w:rPr>
        <w:t>V</w:t>
      </w:r>
      <w:r>
        <w:rPr>
          <w:rFonts w:hint="eastAsia"/>
        </w:rPr>
        <w:t>协同传播，不仅明确澄清“当事</w:t>
      </w:r>
      <w:r>
        <w:rPr>
          <w:rFonts w:hint="eastAsia"/>
        </w:rPr>
        <w:t>人老人身体不适”的事实，还表达了“责任态度恳切，老人表示歉意”的担责态度，同时体现出“媒体报道体现人文关怀和理解”的情感价值，使该事件在</w:t>
      </w:r>
      <w:r>
        <w:rPr>
          <w:rFonts w:hint="eastAsia"/>
        </w:rPr>
        <w:t>8</w:t>
      </w:r>
      <w:r>
        <w:rPr>
          <w:rFonts w:hint="eastAsia"/>
        </w:rPr>
        <w:t>小时内得到有效控制，未产生次生舆情。在</w:t>
      </w:r>
      <w:r>
        <w:rPr>
          <w:rFonts w:hint="eastAsia"/>
        </w:rPr>
        <w:t>2024</w:t>
      </w:r>
      <w:r>
        <w:rPr>
          <w:rFonts w:hint="eastAsia"/>
        </w:rPr>
        <w:t>年“武汉天河机场遭遇大面积航班延误”事件中，南航迅速回应，由企业级账号明确解释“因强降雪导致”的事实原因，并诚恳“深表歉意，承诺优化服务”，展现了负责任的企业形象。</w:t>
      </w:r>
    </w:p>
    <w:p w14:paraId="7D2AC5E6" w14:textId="77777777" w:rsidR="0025680F" w:rsidRDefault="00D201ED">
      <w:pPr>
        <w:ind w:firstLineChars="200" w:firstLine="480"/>
      </w:pPr>
      <w:r>
        <w:rPr>
          <w:rFonts w:hint="eastAsia"/>
        </w:rPr>
        <w:t>国泰航空（</w:t>
      </w:r>
      <w:r>
        <w:rPr>
          <w:rFonts w:hint="eastAsia"/>
        </w:rPr>
        <w:t>46.40</w:t>
      </w:r>
      <w:r>
        <w:rPr>
          <w:rFonts w:hint="eastAsia"/>
        </w:rPr>
        <w:t>分）虽在发布主体权威性方面得分不高，但在情感共鸣和公众态度方面成效较好，体现出其回应策略能够引发公众共鸣，并获得相对积极的舆论反馈。在</w:t>
      </w:r>
      <w:r>
        <w:rPr>
          <w:rFonts w:hint="eastAsia"/>
        </w:rPr>
        <w:t>2023</w:t>
      </w:r>
      <w:r>
        <w:rPr>
          <w:rFonts w:hint="eastAsia"/>
        </w:rPr>
        <w:t>年</w:t>
      </w:r>
      <w:r>
        <w:rPr>
          <w:rFonts w:hint="eastAsia"/>
        </w:rPr>
        <w:t>5</w:t>
      </w:r>
      <w:r>
        <w:rPr>
          <w:rFonts w:hint="eastAsia"/>
        </w:rPr>
        <w:t>月“国泰航空乘务员歧视非英语乘客”事件中，虽然公司在事发后约</w:t>
      </w:r>
      <w:r>
        <w:rPr>
          <w:rFonts w:hint="eastAsia"/>
        </w:rPr>
        <w:t>48</w:t>
      </w:r>
      <w:r>
        <w:rPr>
          <w:rFonts w:hint="eastAsia"/>
        </w:rPr>
        <w:t>小时才做出回应，响应速度存在一定延迟，但其回应策略取得了显著效果。公司不仅由企业级账号发布致歉声明，还动员了</w:t>
      </w:r>
      <w:r>
        <w:rPr>
          <w:rFonts w:hint="eastAsia"/>
        </w:rPr>
        <w:t>181</w:t>
      </w:r>
      <w:r>
        <w:rPr>
          <w:rFonts w:hint="eastAsia"/>
        </w:rPr>
        <w:t>个大</w:t>
      </w:r>
      <w:r>
        <w:rPr>
          <w:rFonts w:hint="eastAsia"/>
        </w:rPr>
        <w:t>V</w:t>
      </w:r>
      <w:r>
        <w:rPr>
          <w:rFonts w:hint="eastAsia"/>
        </w:rPr>
        <w:t>账号协同发声，形成强大的舆论传播矩阵。在回应内容上，国泰航空使用了“深表歉意”“严肃调查处理”等强烈情感色彩的表述，并宣布“解聘涉事员工”的具体整改措施，这种诚恳的认错态度和果断的处理方式，引发了公众的情感共鸣，最终获得了相对积极的舆论反馈，使该事件得到有效控制。</w:t>
      </w:r>
    </w:p>
    <w:p w14:paraId="0228026F" w14:textId="77777777" w:rsidR="0025680F" w:rsidRDefault="00D201ED">
      <w:pPr>
        <w:ind w:firstLineChars="200" w:firstLine="480"/>
      </w:pPr>
      <w:r>
        <w:rPr>
          <w:rFonts w:hint="eastAsia"/>
        </w:rPr>
        <w:t>中国商用飞机有限责任公司（</w:t>
      </w:r>
      <w:r>
        <w:rPr>
          <w:rFonts w:hint="eastAsia"/>
        </w:rPr>
        <w:t>44.61</w:t>
      </w:r>
      <w:r>
        <w:rPr>
          <w:rFonts w:hint="eastAsia"/>
        </w:rPr>
        <w:t>分）在发声时间、事实澄</w:t>
      </w:r>
      <w:r>
        <w:rPr>
          <w:rFonts w:hint="eastAsia"/>
        </w:rPr>
        <w:t>清方面表现稳定，显示出其对危机响应及时、事实表述清晰，并获得了部分公众的理解。在“</w:t>
      </w:r>
      <w:r>
        <w:rPr>
          <w:rFonts w:hint="eastAsia"/>
        </w:rPr>
        <w:t>C919</w:t>
      </w:r>
      <w:r>
        <w:rPr>
          <w:rFonts w:hint="eastAsia"/>
        </w:rPr>
        <w:t>再揽</w:t>
      </w:r>
      <w:r>
        <w:rPr>
          <w:rFonts w:hint="eastAsia"/>
        </w:rPr>
        <w:t>300</w:t>
      </w:r>
      <w:r>
        <w:rPr>
          <w:rFonts w:hint="eastAsia"/>
        </w:rPr>
        <w:t>架订单”和“</w:t>
      </w:r>
      <w:r>
        <w:rPr>
          <w:rFonts w:hint="eastAsia"/>
        </w:rPr>
        <w:t>C919</w:t>
      </w:r>
      <w:r>
        <w:rPr>
          <w:rFonts w:hint="eastAsia"/>
        </w:rPr>
        <w:t>实现全球商业首航”等正面事件中，公司能够做到在事件发生后迅速通过企业级账号和中央级媒体同步发声，及时传递权威信息，有效避免了不实信息的传播。特别是在“</w:t>
      </w:r>
      <w:r>
        <w:rPr>
          <w:rFonts w:hint="eastAsia"/>
        </w:rPr>
        <w:t>C919</w:t>
      </w:r>
      <w:r>
        <w:rPr>
          <w:rFonts w:hint="eastAsia"/>
        </w:rPr>
        <w:t>全球首航”事件中，公司通过精</w:t>
      </w:r>
      <w:r>
        <w:rPr>
          <w:rFonts w:hint="eastAsia"/>
        </w:rPr>
        <w:lastRenderedPageBreak/>
        <w:t>准的事实陈述和多渠道传播，成功塑造了国产大飞机的品牌形象，获得了公众的广泛认可。然而，在涉及技术故障或研发挑战等敏感事件时，公司的回应虽然及时且事实清晰，但在道歉担责和情感共鸣方面表现不足。例如，在某些技术</w:t>
      </w:r>
      <w:r>
        <w:rPr>
          <w:rFonts w:hint="eastAsia"/>
        </w:rPr>
        <w:t>研发延期事件中，回应内容偏重技术性解释，缺乏对公众关切的情感回应和共情表达，导致公众理解度有限。这种“重事实、轻情感”的回应方式，虽然保证了信息的准确性，但在赢得公众情感认同方面仍有提升空间。</w:t>
      </w:r>
    </w:p>
    <w:p w14:paraId="3B8B9CEC" w14:textId="77777777" w:rsidR="0025680F" w:rsidRDefault="00D201ED">
      <w:pPr>
        <w:ind w:firstLineChars="200" w:firstLine="480"/>
      </w:pPr>
      <w:r>
        <w:rPr>
          <w:rFonts w:hint="eastAsia"/>
        </w:rPr>
        <w:t>四川航空（综合得分</w:t>
      </w:r>
      <w:r>
        <w:rPr>
          <w:rFonts w:hint="eastAsia"/>
        </w:rPr>
        <w:t>44.40</w:t>
      </w:r>
      <w:r>
        <w:rPr>
          <w:rFonts w:hint="eastAsia"/>
        </w:rPr>
        <w:t>）在事实澄清方面成绩突出，能够迅速、准确地对事件进行说明，有效传递关键信息，展现了较强的信息透明化处理能力。</w:t>
      </w:r>
      <w:r>
        <w:rPr>
          <w:rFonts w:hint="eastAsia"/>
        </w:rPr>
        <w:t>2024</w:t>
      </w:r>
      <w:r>
        <w:rPr>
          <w:rFonts w:hint="eastAsia"/>
        </w:rPr>
        <w:t>年</w:t>
      </w:r>
      <w:r>
        <w:rPr>
          <w:rFonts w:hint="eastAsia"/>
        </w:rPr>
        <w:t>1</w:t>
      </w:r>
      <w:r>
        <w:rPr>
          <w:rFonts w:hint="eastAsia"/>
        </w:rPr>
        <w:t>月</w:t>
      </w:r>
      <w:r>
        <w:rPr>
          <w:rFonts w:hint="eastAsia"/>
        </w:rPr>
        <w:t>21</w:t>
      </w:r>
      <w:r>
        <w:rPr>
          <w:rFonts w:hint="eastAsia"/>
        </w:rPr>
        <w:t>日“</w:t>
      </w:r>
      <w:r>
        <w:rPr>
          <w:rFonts w:hint="eastAsia"/>
        </w:rPr>
        <w:t>3U8424</w:t>
      </w:r>
      <w:r>
        <w:rPr>
          <w:rFonts w:hint="eastAsia"/>
        </w:rPr>
        <w:t>航班发动机空中喷火并返航”事件中，川航在事发次日即通过官方渠道发布声明，明确说明“发动机叶片损伤导致故障”的技术原因，并详细公布返航决策过程和后续航</w:t>
      </w:r>
      <w:r>
        <w:rPr>
          <w:rFonts w:hint="eastAsia"/>
        </w:rPr>
        <w:t>班调整安排，有效遏制了谣言传播。在</w:t>
      </w:r>
      <w:r>
        <w:rPr>
          <w:rFonts w:hint="eastAsia"/>
        </w:rPr>
        <w:t>2025</w:t>
      </w:r>
      <w:r>
        <w:rPr>
          <w:rFonts w:hint="eastAsia"/>
        </w:rPr>
        <w:t>年“</w:t>
      </w:r>
      <w:r>
        <w:rPr>
          <w:rFonts w:hint="eastAsia"/>
        </w:rPr>
        <w:t>3U8925</w:t>
      </w:r>
      <w:r>
        <w:rPr>
          <w:rFonts w:hint="eastAsia"/>
        </w:rPr>
        <w:t>航班因旅客随身充电宝冒烟备降”事件中，公司不仅在事发后快速澄清事件原因，还同步发布安全乘机提示，体现了专业化的危机处理能力。然而，川航在情感共鸣和公众沟通方面仍有提升空间。在</w:t>
      </w:r>
      <w:r>
        <w:rPr>
          <w:rFonts w:hint="eastAsia"/>
        </w:rPr>
        <w:t>2025</w:t>
      </w:r>
      <w:r>
        <w:rPr>
          <w:rFonts w:hint="eastAsia"/>
        </w:rPr>
        <w:t>年“</w:t>
      </w:r>
      <w:r>
        <w:rPr>
          <w:rFonts w:hint="eastAsia"/>
        </w:rPr>
        <w:t>3U6979</w:t>
      </w:r>
      <w:r>
        <w:rPr>
          <w:rFonts w:hint="eastAsia"/>
        </w:rPr>
        <w:t>航班乘客昏迷后不幸离世”事件中，回应内容偏重程序性说明，缺乏对逝者家属的情感关怀表达；而在“白金卡旅客骚扰女空乘”事件中，公司主要强调“已按程序处理”，未充分体现对员工权益保护的立场，导致公众对企业的情感认同度有限。</w:t>
      </w:r>
    </w:p>
    <w:p w14:paraId="55FAF77E" w14:textId="77777777" w:rsidR="0025680F" w:rsidRDefault="00D201ED">
      <w:pPr>
        <w:ind w:firstLineChars="200" w:firstLine="480"/>
      </w:pPr>
      <w:r>
        <w:rPr>
          <w:rFonts w:hint="eastAsia"/>
        </w:rPr>
        <w:t>总体而言，我国航空公司在危机应对方面已</w:t>
      </w:r>
      <w:r>
        <w:rPr>
          <w:rFonts w:hint="eastAsia"/>
        </w:rPr>
        <w:t>经建立了较为成熟的快速反应机制，多数企业能够在</w:t>
      </w:r>
      <w:r>
        <w:rPr>
          <w:rFonts w:hint="eastAsia"/>
        </w:rPr>
        <w:t>24</w:t>
      </w:r>
      <w:r>
        <w:rPr>
          <w:rFonts w:hint="eastAsia"/>
        </w:rPr>
        <w:t>小时内通过权威渠道发声，在事实澄清和舆情控制方面表现出较强能力。然而，在情感沟通、责任承担和人文关怀等价值层面，各公司表现差异显著。部分企业仍存在回应机械、共情不足的问题，这些短板不仅影响单一事件的处置效果，也可能对企业的长期声誉和公众信任造成潜在损害。未来，航空企业需在保持响应速度的同时，更加注重沟通中的情感价值和责任意识，以实现危机应对效果的全面提升。</w:t>
      </w:r>
    </w:p>
    <w:p w14:paraId="74751C98" w14:textId="77777777" w:rsidR="0025680F" w:rsidRDefault="00D201ED">
      <w:pPr>
        <w:pStyle w:val="3"/>
        <w:numPr>
          <w:ilvl w:val="0"/>
          <w:numId w:val="0"/>
        </w:numPr>
      </w:pPr>
      <w:r>
        <w:rPr>
          <w:rFonts w:hint="eastAsia"/>
        </w:rPr>
        <w:t>六、</w:t>
      </w:r>
      <w:r>
        <w:rPr>
          <w:rFonts w:hint="eastAsia"/>
        </w:rPr>
        <w:t>机场危机应对能力排行</w:t>
      </w:r>
    </w:p>
    <w:p w14:paraId="2EACDE41" w14:textId="77777777" w:rsidR="0025680F" w:rsidRDefault="00D201ED">
      <w:pPr>
        <w:ind w:firstLineChars="200" w:firstLine="480"/>
      </w:pPr>
      <w:r>
        <w:rPr>
          <w:rFonts w:hint="eastAsia"/>
        </w:rPr>
        <w:t>我国主要机场的危机应对能力呈现明显差异。整体来看，上海机场集团表现最为突出，</w:t>
      </w:r>
      <w:r>
        <w:rPr>
          <w:rFonts w:hint="eastAsia"/>
        </w:rPr>
        <w:t>而杭州萧山机场相对落后，广州白云机场、深圳宝安机场和厦门机场位居中游，反映出各机场在响应机制、信息透明度与舆情控制等方面存在较大提升空间。</w:t>
      </w:r>
    </w:p>
    <w:p w14:paraId="5EA0ED66" w14:textId="77777777" w:rsidR="0025680F" w:rsidRDefault="00D201ED">
      <w:pPr>
        <w:pStyle w:val="a3"/>
        <w:jc w:val="center"/>
        <w:rPr>
          <w:rFonts w:ascii="方正仿宋_GB2312" w:eastAsia="方正仿宋_GB2312" w:hAnsi="方正仿宋_GB2312"/>
        </w:rPr>
      </w:pPr>
      <w:r>
        <w:rPr>
          <w:rFonts w:ascii="方正仿宋_GB2312" w:eastAsia="方正仿宋_GB2312" w:hAnsi="方正仿宋_GB2312" w:hint="eastAsia"/>
        </w:rPr>
        <w:t>表</w:t>
      </w:r>
      <w:r>
        <w:rPr>
          <w:rFonts w:ascii="方正仿宋_GB2312" w:eastAsia="方正仿宋_GB2312" w:hAnsi="方正仿宋_GB2312" w:hint="eastAsia"/>
        </w:rPr>
        <w:t xml:space="preserve">4 </w:t>
      </w:r>
      <w:r>
        <w:rPr>
          <w:rFonts w:ascii="方正仿宋_GB2312" w:eastAsia="方正仿宋_GB2312" w:hAnsi="方正仿宋_GB2312" w:hint="eastAsia"/>
        </w:rPr>
        <w:t>机场危机应对能力排行</w:t>
      </w:r>
    </w:p>
    <w:tbl>
      <w:tblPr>
        <w:tblW w:w="10184" w:type="dxa"/>
        <w:jc w:val="center"/>
        <w:tblBorders>
          <w:top w:val="single" w:sz="4" w:space="0" w:color="auto"/>
          <w:bottom w:val="single" w:sz="4" w:space="0" w:color="auto"/>
        </w:tblBorders>
        <w:tblLayout w:type="fixed"/>
        <w:tblCellMar>
          <w:top w:w="40" w:type="dxa"/>
          <w:left w:w="51" w:type="dxa"/>
          <w:bottom w:w="40" w:type="dxa"/>
          <w:right w:w="51" w:type="dxa"/>
        </w:tblCellMar>
        <w:tblLook w:val="04A0" w:firstRow="1" w:lastRow="0" w:firstColumn="1" w:lastColumn="0" w:noHBand="0" w:noVBand="1"/>
      </w:tblPr>
      <w:tblGrid>
        <w:gridCol w:w="816"/>
        <w:gridCol w:w="770"/>
        <w:gridCol w:w="770"/>
        <w:gridCol w:w="770"/>
        <w:gridCol w:w="890"/>
        <w:gridCol w:w="891"/>
        <w:gridCol w:w="771"/>
        <w:gridCol w:w="771"/>
        <w:gridCol w:w="891"/>
        <w:gridCol w:w="771"/>
        <w:gridCol w:w="651"/>
        <w:gridCol w:w="651"/>
        <w:gridCol w:w="771"/>
      </w:tblGrid>
      <w:tr w:rsidR="0025680F" w14:paraId="581C5C15" w14:textId="77777777">
        <w:trPr>
          <w:tblHeader/>
          <w:jc w:val="center"/>
        </w:trPr>
        <w:tc>
          <w:tcPr>
            <w:tcW w:w="816" w:type="dxa"/>
            <w:tcBorders>
              <w:left w:val="nil"/>
              <w:bottom w:val="single" w:sz="4" w:space="0" w:color="auto"/>
              <w:right w:val="nil"/>
            </w:tcBorders>
            <w:shd w:val="clear" w:color="auto" w:fill="auto"/>
            <w:noWrap/>
            <w:vAlign w:val="center"/>
          </w:tcPr>
          <w:p w14:paraId="02684FD4" w14:textId="77777777" w:rsidR="0025680F" w:rsidRDefault="00D201ED">
            <w:pPr>
              <w:snapToGrid w:val="0"/>
              <w:jc w:val="center"/>
              <w:rPr>
                <w:bCs/>
                <w:sz w:val="15"/>
                <w:szCs w:val="15"/>
              </w:rPr>
            </w:pPr>
            <w:r>
              <w:rPr>
                <w:rFonts w:hint="eastAsia"/>
                <w:bCs/>
                <w:sz w:val="15"/>
                <w:szCs w:val="15"/>
              </w:rPr>
              <w:t>涉事主体</w:t>
            </w:r>
          </w:p>
        </w:tc>
        <w:tc>
          <w:tcPr>
            <w:tcW w:w="770" w:type="dxa"/>
            <w:tcBorders>
              <w:left w:val="nil"/>
              <w:bottom w:val="single" w:sz="4" w:space="0" w:color="auto"/>
              <w:right w:val="nil"/>
            </w:tcBorders>
            <w:shd w:val="clear" w:color="auto" w:fill="auto"/>
            <w:noWrap/>
            <w:vAlign w:val="center"/>
          </w:tcPr>
          <w:p w14:paraId="5C34DE75" w14:textId="77777777" w:rsidR="0025680F" w:rsidRDefault="00D201ED">
            <w:pPr>
              <w:snapToGrid w:val="0"/>
              <w:jc w:val="center"/>
              <w:rPr>
                <w:bCs/>
                <w:sz w:val="15"/>
                <w:szCs w:val="15"/>
              </w:rPr>
            </w:pPr>
            <w:r>
              <w:rPr>
                <w:rFonts w:hint="eastAsia"/>
                <w:bCs/>
                <w:sz w:val="15"/>
                <w:szCs w:val="15"/>
              </w:rPr>
              <w:t>发声时间</w:t>
            </w:r>
          </w:p>
        </w:tc>
        <w:tc>
          <w:tcPr>
            <w:tcW w:w="770" w:type="dxa"/>
            <w:tcBorders>
              <w:left w:val="nil"/>
              <w:bottom w:val="single" w:sz="4" w:space="0" w:color="auto"/>
              <w:right w:val="nil"/>
            </w:tcBorders>
            <w:shd w:val="clear" w:color="auto" w:fill="auto"/>
            <w:noWrap/>
            <w:vAlign w:val="center"/>
          </w:tcPr>
          <w:p w14:paraId="304DFE15" w14:textId="77777777" w:rsidR="0025680F" w:rsidRDefault="00D201ED">
            <w:pPr>
              <w:snapToGrid w:val="0"/>
              <w:jc w:val="center"/>
              <w:rPr>
                <w:bCs/>
                <w:sz w:val="15"/>
                <w:szCs w:val="15"/>
              </w:rPr>
            </w:pPr>
            <w:r>
              <w:rPr>
                <w:rFonts w:hint="eastAsia"/>
                <w:bCs/>
                <w:sz w:val="15"/>
                <w:szCs w:val="15"/>
              </w:rPr>
              <w:t>发布主体</w:t>
            </w:r>
          </w:p>
        </w:tc>
        <w:tc>
          <w:tcPr>
            <w:tcW w:w="770" w:type="dxa"/>
            <w:tcBorders>
              <w:left w:val="nil"/>
              <w:bottom w:val="single" w:sz="4" w:space="0" w:color="auto"/>
              <w:right w:val="nil"/>
            </w:tcBorders>
            <w:shd w:val="clear" w:color="auto" w:fill="auto"/>
            <w:noWrap/>
            <w:vAlign w:val="center"/>
          </w:tcPr>
          <w:p w14:paraId="555DD9C0" w14:textId="77777777" w:rsidR="0025680F" w:rsidRDefault="00D201ED">
            <w:pPr>
              <w:snapToGrid w:val="0"/>
              <w:jc w:val="center"/>
              <w:rPr>
                <w:bCs/>
                <w:sz w:val="15"/>
                <w:szCs w:val="15"/>
              </w:rPr>
            </w:pPr>
            <w:r>
              <w:rPr>
                <w:rFonts w:hint="eastAsia"/>
                <w:bCs/>
                <w:sz w:val="15"/>
                <w:szCs w:val="15"/>
              </w:rPr>
              <w:t>发布渠道</w:t>
            </w:r>
          </w:p>
        </w:tc>
        <w:tc>
          <w:tcPr>
            <w:tcW w:w="890" w:type="dxa"/>
            <w:tcBorders>
              <w:left w:val="nil"/>
              <w:bottom w:val="single" w:sz="4" w:space="0" w:color="auto"/>
              <w:right w:val="nil"/>
            </w:tcBorders>
            <w:shd w:val="clear" w:color="auto" w:fill="auto"/>
            <w:noWrap/>
            <w:vAlign w:val="center"/>
          </w:tcPr>
          <w:p w14:paraId="4E71EA0B" w14:textId="77777777" w:rsidR="0025680F" w:rsidRDefault="00D201ED">
            <w:pPr>
              <w:snapToGrid w:val="0"/>
              <w:jc w:val="center"/>
              <w:rPr>
                <w:bCs/>
                <w:sz w:val="15"/>
                <w:szCs w:val="15"/>
              </w:rPr>
            </w:pPr>
            <w:r>
              <w:rPr>
                <w:rFonts w:hint="eastAsia"/>
                <w:bCs/>
                <w:sz w:val="15"/>
                <w:szCs w:val="15"/>
              </w:rPr>
              <w:t>公众态度</w:t>
            </w:r>
          </w:p>
        </w:tc>
        <w:tc>
          <w:tcPr>
            <w:tcW w:w="891" w:type="dxa"/>
            <w:tcBorders>
              <w:left w:val="nil"/>
              <w:bottom w:val="single" w:sz="4" w:space="0" w:color="auto"/>
              <w:right w:val="nil"/>
            </w:tcBorders>
            <w:shd w:val="clear" w:color="auto" w:fill="auto"/>
            <w:noWrap/>
            <w:vAlign w:val="center"/>
          </w:tcPr>
          <w:p w14:paraId="1E2D8A81" w14:textId="77777777" w:rsidR="0025680F" w:rsidRDefault="00D201ED">
            <w:pPr>
              <w:snapToGrid w:val="0"/>
              <w:jc w:val="center"/>
              <w:rPr>
                <w:bCs/>
                <w:sz w:val="15"/>
                <w:szCs w:val="15"/>
              </w:rPr>
            </w:pPr>
            <w:r>
              <w:rPr>
                <w:rFonts w:hint="eastAsia"/>
                <w:bCs/>
                <w:sz w:val="15"/>
                <w:szCs w:val="15"/>
              </w:rPr>
              <w:t>事实澄清</w:t>
            </w:r>
          </w:p>
        </w:tc>
        <w:tc>
          <w:tcPr>
            <w:tcW w:w="771" w:type="dxa"/>
            <w:tcBorders>
              <w:left w:val="nil"/>
              <w:bottom w:val="single" w:sz="4" w:space="0" w:color="auto"/>
              <w:right w:val="nil"/>
            </w:tcBorders>
            <w:shd w:val="clear" w:color="auto" w:fill="auto"/>
            <w:noWrap/>
            <w:vAlign w:val="center"/>
          </w:tcPr>
          <w:p w14:paraId="5E2FFB03" w14:textId="77777777" w:rsidR="0025680F" w:rsidRDefault="00D201ED">
            <w:pPr>
              <w:snapToGrid w:val="0"/>
              <w:jc w:val="center"/>
              <w:rPr>
                <w:bCs/>
                <w:sz w:val="15"/>
                <w:szCs w:val="15"/>
              </w:rPr>
            </w:pPr>
            <w:r>
              <w:rPr>
                <w:rFonts w:hint="eastAsia"/>
                <w:bCs/>
                <w:sz w:val="15"/>
                <w:szCs w:val="15"/>
              </w:rPr>
              <w:t>道歉担责</w:t>
            </w:r>
          </w:p>
        </w:tc>
        <w:tc>
          <w:tcPr>
            <w:tcW w:w="771" w:type="dxa"/>
            <w:tcBorders>
              <w:left w:val="nil"/>
              <w:bottom w:val="single" w:sz="4" w:space="0" w:color="auto"/>
              <w:right w:val="nil"/>
            </w:tcBorders>
            <w:shd w:val="clear" w:color="auto" w:fill="auto"/>
            <w:noWrap/>
            <w:vAlign w:val="center"/>
          </w:tcPr>
          <w:p w14:paraId="7D23DE3C" w14:textId="77777777" w:rsidR="0025680F" w:rsidRDefault="00D201ED">
            <w:pPr>
              <w:snapToGrid w:val="0"/>
              <w:jc w:val="center"/>
              <w:rPr>
                <w:bCs/>
                <w:sz w:val="15"/>
                <w:szCs w:val="15"/>
              </w:rPr>
            </w:pPr>
            <w:r>
              <w:rPr>
                <w:rFonts w:hint="eastAsia"/>
                <w:bCs/>
                <w:sz w:val="15"/>
                <w:szCs w:val="15"/>
              </w:rPr>
              <w:t>情感共鸣</w:t>
            </w:r>
          </w:p>
        </w:tc>
        <w:tc>
          <w:tcPr>
            <w:tcW w:w="891" w:type="dxa"/>
            <w:tcBorders>
              <w:left w:val="nil"/>
              <w:bottom w:val="single" w:sz="4" w:space="0" w:color="auto"/>
              <w:right w:val="nil"/>
            </w:tcBorders>
            <w:shd w:val="clear" w:color="auto" w:fill="auto"/>
            <w:noWrap/>
            <w:vAlign w:val="center"/>
          </w:tcPr>
          <w:p w14:paraId="74AF9E05" w14:textId="77777777" w:rsidR="0025680F" w:rsidRDefault="00D201ED">
            <w:pPr>
              <w:snapToGrid w:val="0"/>
              <w:jc w:val="center"/>
              <w:rPr>
                <w:bCs/>
                <w:sz w:val="15"/>
                <w:szCs w:val="15"/>
              </w:rPr>
            </w:pPr>
            <w:r>
              <w:rPr>
                <w:rFonts w:hint="eastAsia"/>
                <w:bCs/>
                <w:sz w:val="15"/>
                <w:szCs w:val="15"/>
              </w:rPr>
              <w:t>次生舆情</w:t>
            </w:r>
          </w:p>
        </w:tc>
        <w:tc>
          <w:tcPr>
            <w:tcW w:w="771" w:type="dxa"/>
            <w:tcBorders>
              <w:left w:val="nil"/>
              <w:bottom w:val="single" w:sz="4" w:space="0" w:color="auto"/>
              <w:right w:val="nil"/>
            </w:tcBorders>
            <w:shd w:val="clear" w:color="auto" w:fill="auto"/>
            <w:noWrap/>
            <w:vAlign w:val="center"/>
          </w:tcPr>
          <w:p w14:paraId="05770C8C" w14:textId="77777777" w:rsidR="0025680F" w:rsidRDefault="00D201ED">
            <w:pPr>
              <w:snapToGrid w:val="0"/>
              <w:jc w:val="center"/>
              <w:rPr>
                <w:bCs/>
                <w:sz w:val="15"/>
                <w:szCs w:val="15"/>
              </w:rPr>
            </w:pPr>
            <w:r>
              <w:rPr>
                <w:rFonts w:hint="eastAsia"/>
                <w:bCs/>
                <w:sz w:val="15"/>
                <w:szCs w:val="15"/>
              </w:rPr>
              <w:t>生存时间</w:t>
            </w:r>
          </w:p>
        </w:tc>
        <w:tc>
          <w:tcPr>
            <w:tcW w:w="651" w:type="dxa"/>
            <w:tcBorders>
              <w:left w:val="nil"/>
              <w:bottom w:val="single" w:sz="4" w:space="0" w:color="auto"/>
              <w:right w:val="nil"/>
            </w:tcBorders>
            <w:shd w:val="clear" w:color="auto" w:fill="auto"/>
            <w:noWrap/>
            <w:vAlign w:val="center"/>
          </w:tcPr>
          <w:p w14:paraId="3D454035" w14:textId="77777777" w:rsidR="0025680F" w:rsidRDefault="00D201ED">
            <w:pPr>
              <w:snapToGrid w:val="0"/>
              <w:jc w:val="center"/>
              <w:rPr>
                <w:bCs/>
                <w:sz w:val="15"/>
                <w:szCs w:val="15"/>
              </w:rPr>
            </w:pPr>
            <w:r>
              <w:rPr>
                <w:rFonts w:hint="eastAsia"/>
                <w:bCs/>
                <w:sz w:val="15"/>
                <w:szCs w:val="15"/>
              </w:rPr>
              <w:t>危机个数</w:t>
            </w:r>
          </w:p>
        </w:tc>
        <w:tc>
          <w:tcPr>
            <w:tcW w:w="651" w:type="dxa"/>
            <w:tcBorders>
              <w:left w:val="nil"/>
              <w:bottom w:val="single" w:sz="4" w:space="0" w:color="auto"/>
              <w:right w:val="nil"/>
            </w:tcBorders>
            <w:shd w:val="clear" w:color="auto" w:fill="auto"/>
            <w:noWrap/>
            <w:vAlign w:val="center"/>
          </w:tcPr>
          <w:p w14:paraId="76A49ED8" w14:textId="77777777" w:rsidR="0025680F" w:rsidRDefault="00D201ED">
            <w:pPr>
              <w:snapToGrid w:val="0"/>
              <w:jc w:val="center"/>
              <w:rPr>
                <w:bCs/>
                <w:sz w:val="15"/>
                <w:szCs w:val="15"/>
              </w:rPr>
            </w:pPr>
            <w:r>
              <w:rPr>
                <w:rFonts w:hint="eastAsia"/>
                <w:bCs/>
                <w:sz w:val="15"/>
                <w:szCs w:val="15"/>
              </w:rPr>
              <w:t>危机级别</w:t>
            </w:r>
          </w:p>
        </w:tc>
        <w:tc>
          <w:tcPr>
            <w:tcW w:w="771" w:type="dxa"/>
            <w:tcBorders>
              <w:left w:val="nil"/>
              <w:bottom w:val="single" w:sz="4" w:space="0" w:color="auto"/>
              <w:right w:val="nil"/>
            </w:tcBorders>
            <w:shd w:val="clear" w:color="auto" w:fill="auto"/>
            <w:noWrap/>
            <w:vAlign w:val="center"/>
          </w:tcPr>
          <w:p w14:paraId="6D17E139" w14:textId="77777777" w:rsidR="0025680F" w:rsidRDefault="00D201ED">
            <w:pPr>
              <w:snapToGrid w:val="0"/>
              <w:jc w:val="center"/>
              <w:rPr>
                <w:bCs/>
                <w:sz w:val="15"/>
                <w:szCs w:val="15"/>
              </w:rPr>
            </w:pPr>
            <w:r>
              <w:rPr>
                <w:rFonts w:hint="eastAsia"/>
                <w:bCs/>
                <w:sz w:val="15"/>
                <w:szCs w:val="15"/>
              </w:rPr>
              <w:t>综合得分</w:t>
            </w:r>
          </w:p>
        </w:tc>
      </w:tr>
      <w:tr w:rsidR="0025680F" w14:paraId="4592B00A" w14:textId="77777777">
        <w:trPr>
          <w:jc w:val="center"/>
        </w:trPr>
        <w:tc>
          <w:tcPr>
            <w:tcW w:w="816" w:type="dxa"/>
            <w:tcBorders>
              <w:top w:val="single" w:sz="4" w:space="0" w:color="auto"/>
              <w:left w:val="nil"/>
              <w:bottom w:val="nil"/>
              <w:right w:val="nil"/>
            </w:tcBorders>
            <w:shd w:val="clear" w:color="auto" w:fill="auto"/>
            <w:noWrap/>
            <w:vAlign w:val="center"/>
          </w:tcPr>
          <w:p w14:paraId="7D20A0F0" w14:textId="77777777" w:rsidR="0025680F" w:rsidRDefault="00D201ED">
            <w:pPr>
              <w:snapToGrid w:val="0"/>
              <w:jc w:val="center"/>
              <w:rPr>
                <w:bCs/>
                <w:sz w:val="15"/>
                <w:szCs w:val="15"/>
              </w:rPr>
            </w:pPr>
            <w:r>
              <w:rPr>
                <w:rFonts w:hint="eastAsia"/>
                <w:bCs/>
                <w:sz w:val="15"/>
                <w:szCs w:val="15"/>
              </w:rPr>
              <w:t>上海机场集团</w:t>
            </w:r>
          </w:p>
        </w:tc>
        <w:tc>
          <w:tcPr>
            <w:tcW w:w="770" w:type="dxa"/>
            <w:tcBorders>
              <w:top w:val="single" w:sz="4" w:space="0" w:color="auto"/>
              <w:left w:val="nil"/>
              <w:bottom w:val="nil"/>
              <w:right w:val="nil"/>
            </w:tcBorders>
            <w:shd w:val="clear" w:color="auto" w:fill="auto"/>
            <w:noWrap/>
            <w:vAlign w:val="center"/>
          </w:tcPr>
          <w:p w14:paraId="297B2FDA" w14:textId="77777777" w:rsidR="0025680F" w:rsidRDefault="00D201ED">
            <w:pPr>
              <w:snapToGrid w:val="0"/>
              <w:jc w:val="center"/>
              <w:rPr>
                <w:bCs/>
                <w:sz w:val="15"/>
                <w:szCs w:val="15"/>
              </w:rPr>
            </w:pPr>
            <w:r>
              <w:rPr>
                <w:rFonts w:hint="eastAsia"/>
                <w:bCs/>
                <w:sz w:val="15"/>
                <w:szCs w:val="15"/>
              </w:rPr>
              <w:t xml:space="preserve">80.00 </w:t>
            </w:r>
          </w:p>
        </w:tc>
        <w:tc>
          <w:tcPr>
            <w:tcW w:w="770" w:type="dxa"/>
            <w:tcBorders>
              <w:top w:val="single" w:sz="4" w:space="0" w:color="auto"/>
              <w:left w:val="nil"/>
              <w:bottom w:val="nil"/>
              <w:right w:val="nil"/>
            </w:tcBorders>
            <w:shd w:val="clear" w:color="auto" w:fill="auto"/>
            <w:noWrap/>
            <w:vAlign w:val="center"/>
          </w:tcPr>
          <w:p w14:paraId="6FF77D90" w14:textId="77777777" w:rsidR="0025680F" w:rsidRDefault="00D201ED">
            <w:pPr>
              <w:snapToGrid w:val="0"/>
              <w:jc w:val="center"/>
              <w:rPr>
                <w:bCs/>
                <w:sz w:val="15"/>
                <w:szCs w:val="15"/>
              </w:rPr>
            </w:pPr>
            <w:r>
              <w:rPr>
                <w:rFonts w:hint="eastAsia"/>
                <w:bCs/>
                <w:sz w:val="15"/>
                <w:szCs w:val="15"/>
              </w:rPr>
              <w:t xml:space="preserve">60.00 </w:t>
            </w:r>
          </w:p>
        </w:tc>
        <w:tc>
          <w:tcPr>
            <w:tcW w:w="770" w:type="dxa"/>
            <w:tcBorders>
              <w:top w:val="single" w:sz="4" w:space="0" w:color="auto"/>
              <w:left w:val="nil"/>
              <w:bottom w:val="nil"/>
              <w:right w:val="nil"/>
            </w:tcBorders>
            <w:shd w:val="clear" w:color="auto" w:fill="auto"/>
            <w:noWrap/>
            <w:vAlign w:val="center"/>
          </w:tcPr>
          <w:p w14:paraId="39A4967C" w14:textId="77777777" w:rsidR="0025680F" w:rsidRDefault="00D201ED">
            <w:pPr>
              <w:snapToGrid w:val="0"/>
              <w:jc w:val="center"/>
              <w:rPr>
                <w:bCs/>
                <w:sz w:val="15"/>
                <w:szCs w:val="15"/>
              </w:rPr>
            </w:pPr>
            <w:r>
              <w:rPr>
                <w:rFonts w:hint="eastAsia"/>
                <w:bCs/>
                <w:sz w:val="15"/>
                <w:szCs w:val="15"/>
              </w:rPr>
              <w:t xml:space="preserve">60.00 </w:t>
            </w:r>
          </w:p>
        </w:tc>
        <w:tc>
          <w:tcPr>
            <w:tcW w:w="890" w:type="dxa"/>
            <w:tcBorders>
              <w:top w:val="single" w:sz="4" w:space="0" w:color="auto"/>
              <w:left w:val="nil"/>
              <w:bottom w:val="nil"/>
              <w:right w:val="nil"/>
            </w:tcBorders>
            <w:shd w:val="clear" w:color="auto" w:fill="auto"/>
            <w:noWrap/>
            <w:vAlign w:val="center"/>
          </w:tcPr>
          <w:p w14:paraId="5E7183E9" w14:textId="77777777" w:rsidR="0025680F" w:rsidRDefault="00D201ED">
            <w:pPr>
              <w:snapToGrid w:val="0"/>
              <w:jc w:val="center"/>
              <w:rPr>
                <w:bCs/>
                <w:sz w:val="15"/>
                <w:szCs w:val="15"/>
              </w:rPr>
            </w:pPr>
            <w:r>
              <w:rPr>
                <w:rFonts w:hint="eastAsia"/>
                <w:bCs/>
                <w:sz w:val="15"/>
                <w:szCs w:val="15"/>
              </w:rPr>
              <w:t xml:space="preserve">30.00 </w:t>
            </w:r>
          </w:p>
        </w:tc>
        <w:tc>
          <w:tcPr>
            <w:tcW w:w="891" w:type="dxa"/>
            <w:tcBorders>
              <w:top w:val="single" w:sz="4" w:space="0" w:color="auto"/>
              <w:left w:val="nil"/>
              <w:bottom w:val="nil"/>
              <w:right w:val="nil"/>
            </w:tcBorders>
            <w:shd w:val="clear" w:color="auto" w:fill="auto"/>
            <w:noWrap/>
            <w:vAlign w:val="center"/>
          </w:tcPr>
          <w:p w14:paraId="657EC539" w14:textId="77777777" w:rsidR="0025680F" w:rsidRDefault="00D201ED">
            <w:pPr>
              <w:snapToGrid w:val="0"/>
              <w:jc w:val="center"/>
              <w:rPr>
                <w:bCs/>
                <w:sz w:val="15"/>
                <w:szCs w:val="15"/>
              </w:rPr>
            </w:pPr>
            <w:r>
              <w:rPr>
                <w:rFonts w:hint="eastAsia"/>
                <w:bCs/>
                <w:sz w:val="15"/>
                <w:szCs w:val="15"/>
              </w:rPr>
              <w:t xml:space="preserve">100.00 </w:t>
            </w:r>
          </w:p>
        </w:tc>
        <w:tc>
          <w:tcPr>
            <w:tcW w:w="771" w:type="dxa"/>
            <w:tcBorders>
              <w:top w:val="single" w:sz="4" w:space="0" w:color="auto"/>
              <w:left w:val="nil"/>
              <w:bottom w:val="nil"/>
              <w:right w:val="nil"/>
            </w:tcBorders>
            <w:shd w:val="clear" w:color="auto" w:fill="auto"/>
            <w:noWrap/>
            <w:vAlign w:val="center"/>
          </w:tcPr>
          <w:p w14:paraId="4EAF11E8" w14:textId="77777777" w:rsidR="0025680F" w:rsidRDefault="00D201ED">
            <w:pPr>
              <w:snapToGrid w:val="0"/>
              <w:jc w:val="center"/>
              <w:rPr>
                <w:bCs/>
                <w:sz w:val="15"/>
                <w:szCs w:val="15"/>
              </w:rPr>
            </w:pPr>
            <w:r>
              <w:rPr>
                <w:rFonts w:hint="eastAsia"/>
                <w:bCs/>
                <w:sz w:val="15"/>
                <w:szCs w:val="15"/>
              </w:rPr>
              <w:t xml:space="preserve">40.00 </w:t>
            </w:r>
          </w:p>
        </w:tc>
        <w:tc>
          <w:tcPr>
            <w:tcW w:w="771" w:type="dxa"/>
            <w:tcBorders>
              <w:top w:val="single" w:sz="4" w:space="0" w:color="auto"/>
              <w:left w:val="nil"/>
              <w:bottom w:val="nil"/>
              <w:right w:val="nil"/>
            </w:tcBorders>
            <w:shd w:val="clear" w:color="auto" w:fill="auto"/>
            <w:noWrap/>
            <w:vAlign w:val="center"/>
          </w:tcPr>
          <w:p w14:paraId="79F4ED80" w14:textId="77777777" w:rsidR="0025680F" w:rsidRDefault="00D201ED">
            <w:pPr>
              <w:snapToGrid w:val="0"/>
              <w:jc w:val="center"/>
              <w:rPr>
                <w:bCs/>
                <w:sz w:val="15"/>
                <w:szCs w:val="15"/>
              </w:rPr>
            </w:pPr>
            <w:r>
              <w:rPr>
                <w:rFonts w:hint="eastAsia"/>
                <w:bCs/>
                <w:sz w:val="15"/>
                <w:szCs w:val="15"/>
              </w:rPr>
              <w:t xml:space="preserve">10.00 </w:t>
            </w:r>
          </w:p>
        </w:tc>
        <w:tc>
          <w:tcPr>
            <w:tcW w:w="891" w:type="dxa"/>
            <w:tcBorders>
              <w:top w:val="single" w:sz="4" w:space="0" w:color="auto"/>
              <w:left w:val="nil"/>
              <w:bottom w:val="nil"/>
              <w:right w:val="nil"/>
            </w:tcBorders>
            <w:shd w:val="clear" w:color="auto" w:fill="auto"/>
            <w:noWrap/>
            <w:vAlign w:val="center"/>
          </w:tcPr>
          <w:p w14:paraId="055B19B0" w14:textId="77777777" w:rsidR="0025680F" w:rsidRDefault="00D201ED">
            <w:pPr>
              <w:snapToGrid w:val="0"/>
              <w:jc w:val="center"/>
              <w:rPr>
                <w:bCs/>
                <w:sz w:val="15"/>
                <w:szCs w:val="15"/>
              </w:rPr>
            </w:pPr>
            <w:r>
              <w:rPr>
                <w:rFonts w:hint="eastAsia"/>
                <w:bCs/>
                <w:sz w:val="15"/>
                <w:szCs w:val="15"/>
              </w:rPr>
              <w:t xml:space="preserve">50.00 </w:t>
            </w:r>
          </w:p>
        </w:tc>
        <w:tc>
          <w:tcPr>
            <w:tcW w:w="771" w:type="dxa"/>
            <w:tcBorders>
              <w:top w:val="single" w:sz="4" w:space="0" w:color="auto"/>
              <w:left w:val="nil"/>
              <w:bottom w:val="nil"/>
              <w:right w:val="nil"/>
            </w:tcBorders>
            <w:shd w:val="clear" w:color="auto" w:fill="auto"/>
            <w:noWrap/>
            <w:vAlign w:val="center"/>
          </w:tcPr>
          <w:p w14:paraId="4AA6487F" w14:textId="77777777" w:rsidR="0025680F" w:rsidRDefault="00D201ED">
            <w:pPr>
              <w:snapToGrid w:val="0"/>
              <w:jc w:val="center"/>
              <w:rPr>
                <w:bCs/>
                <w:sz w:val="15"/>
                <w:szCs w:val="15"/>
              </w:rPr>
            </w:pPr>
            <w:r>
              <w:rPr>
                <w:rFonts w:hint="eastAsia"/>
                <w:bCs/>
                <w:sz w:val="15"/>
                <w:szCs w:val="15"/>
              </w:rPr>
              <w:t xml:space="preserve">80.00 </w:t>
            </w:r>
          </w:p>
        </w:tc>
        <w:tc>
          <w:tcPr>
            <w:tcW w:w="651" w:type="dxa"/>
            <w:tcBorders>
              <w:top w:val="single" w:sz="4" w:space="0" w:color="auto"/>
              <w:left w:val="nil"/>
              <w:bottom w:val="nil"/>
              <w:right w:val="nil"/>
            </w:tcBorders>
            <w:shd w:val="clear" w:color="auto" w:fill="auto"/>
            <w:noWrap/>
            <w:vAlign w:val="center"/>
          </w:tcPr>
          <w:p w14:paraId="3E5A0D20" w14:textId="77777777" w:rsidR="0025680F" w:rsidRDefault="00D201ED">
            <w:pPr>
              <w:snapToGrid w:val="0"/>
              <w:jc w:val="center"/>
              <w:rPr>
                <w:bCs/>
                <w:sz w:val="15"/>
                <w:szCs w:val="15"/>
              </w:rPr>
            </w:pPr>
            <w:r>
              <w:rPr>
                <w:rFonts w:hint="eastAsia"/>
                <w:bCs/>
                <w:sz w:val="15"/>
                <w:szCs w:val="15"/>
              </w:rPr>
              <w:t xml:space="preserve">5.00 </w:t>
            </w:r>
          </w:p>
        </w:tc>
        <w:tc>
          <w:tcPr>
            <w:tcW w:w="651" w:type="dxa"/>
            <w:tcBorders>
              <w:top w:val="single" w:sz="4" w:space="0" w:color="auto"/>
              <w:left w:val="nil"/>
              <w:bottom w:val="nil"/>
              <w:right w:val="nil"/>
            </w:tcBorders>
            <w:shd w:val="clear" w:color="auto" w:fill="auto"/>
            <w:noWrap/>
            <w:vAlign w:val="center"/>
          </w:tcPr>
          <w:p w14:paraId="2578BEDC" w14:textId="77777777" w:rsidR="0025680F" w:rsidRDefault="00D201ED">
            <w:pPr>
              <w:snapToGrid w:val="0"/>
              <w:jc w:val="center"/>
              <w:rPr>
                <w:bCs/>
                <w:sz w:val="15"/>
                <w:szCs w:val="15"/>
              </w:rPr>
            </w:pPr>
            <w:r>
              <w:rPr>
                <w:rFonts w:hint="eastAsia"/>
                <w:bCs/>
                <w:sz w:val="15"/>
                <w:szCs w:val="15"/>
              </w:rPr>
              <w:t xml:space="preserve">0.50 </w:t>
            </w:r>
          </w:p>
        </w:tc>
        <w:tc>
          <w:tcPr>
            <w:tcW w:w="771" w:type="dxa"/>
            <w:tcBorders>
              <w:top w:val="single" w:sz="4" w:space="0" w:color="auto"/>
              <w:left w:val="nil"/>
              <w:bottom w:val="nil"/>
              <w:right w:val="nil"/>
            </w:tcBorders>
            <w:shd w:val="clear" w:color="auto" w:fill="auto"/>
            <w:noWrap/>
            <w:vAlign w:val="center"/>
          </w:tcPr>
          <w:p w14:paraId="03217BF6" w14:textId="77777777" w:rsidR="0025680F" w:rsidRDefault="00D201ED">
            <w:pPr>
              <w:snapToGrid w:val="0"/>
              <w:jc w:val="center"/>
              <w:rPr>
                <w:bCs/>
                <w:sz w:val="15"/>
                <w:szCs w:val="15"/>
              </w:rPr>
            </w:pPr>
            <w:r>
              <w:rPr>
                <w:rFonts w:hint="eastAsia"/>
                <w:bCs/>
                <w:sz w:val="15"/>
                <w:szCs w:val="15"/>
              </w:rPr>
              <w:t xml:space="preserve">48.20 </w:t>
            </w:r>
          </w:p>
        </w:tc>
      </w:tr>
      <w:tr w:rsidR="0025680F" w14:paraId="1FBA993E" w14:textId="77777777">
        <w:trPr>
          <w:jc w:val="center"/>
        </w:trPr>
        <w:tc>
          <w:tcPr>
            <w:tcW w:w="816" w:type="dxa"/>
            <w:tcBorders>
              <w:top w:val="nil"/>
              <w:left w:val="nil"/>
              <w:bottom w:val="nil"/>
              <w:right w:val="nil"/>
            </w:tcBorders>
            <w:shd w:val="clear" w:color="auto" w:fill="auto"/>
            <w:noWrap/>
            <w:vAlign w:val="center"/>
          </w:tcPr>
          <w:p w14:paraId="2A1268E7" w14:textId="77777777" w:rsidR="0025680F" w:rsidRDefault="00D201ED">
            <w:pPr>
              <w:snapToGrid w:val="0"/>
              <w:jc w:val="center"/>
              <w:rPr>
                <w:bCs/>
                <w:sz w:val="15"/>
                <w:szCs w:val="15"/>
              </w:rPr>
            </w:pPr>
            <w:r>
              <w:rPr>
                <w:rFonts w:hint="eastAsia"/>
                <w:bCs/>
                <w:sz w:val="15"/>
                <w:szCs w:val="15"/>
              </w:rPr>
              <w:lastRenderedPageBreak/>
              <w:t>广州白云机场</w:t>
            </w:r>
          </w:p>
        </w:tc>
        <w:tc>
          <w:tcPr>
            <w:tcW w:w="770" w:type="dxa"/>
            <w:tcBorders>
              <w:top w:val="nil"/>
              <w:left w:val="nil"/>
              <w:bottom w:val="nil"/>
              <w:right w:val="nil"/>
            </w:tcBorders>
            <w:shd w:val="clear" w:color="auto" w:fill="auto"/>
            <w:noWrap/>
            <w:vAlign w:val="center"/>
          </w:tcPr>
          <w:p w14:paraId="555049EC" w14:textId="77777777" w:rsidR="0025680F" w:rsidRDefault="00D201ED">
            <w:pPr>
              <w:snapToGrid w:val="0"/>
              <w:jc w:val="center"/>
              <w:rPr>
                <w:bCs/>
                <w:sz w:val="15"/>
                <w:szCs w:val="15"/>
              </w:rPr>
            </w:pPr>
            <w:r>
              <w:rPr>
                <w:rFonts w:hint="eastAsia"/>
                <w:bCs/>
                <w:sz w:val="15"/>
                <w:szCs w:val="15"/>
              </w:rPr>
              <w:t xml:space="preserve">70.00 </w:t>
            </w:r>
          </w:p>
        </w:tc>
        <w:tc>
          <w:tcPr>
            <w:tcW w:w="770" w:type="dxa"/>
            <w:tcBorders>
              <w:top w:val="nil"/>
              <w:left w:val="nil"/>
              <w:bottom w:val="nil"/>
              <w:right w:val="nil"/>
            </w:tcBorders>
            <w:shd w:val="clear" w:color="auto" w:fill="auto"/>
            <w:noWrap/>
            <w:vAlign w:val="center"/>
          </w:tcPr>
          <w:p w14:paraId="563407D2" w14:textId="77777777" w:rsidR="0025680F" w:rsidRDefault="00D201ED">
            <w:pPr>
              <w:snapToGrid w:val="0"/>
              <w:jc w:val="center"/>
              <w:rPr>
                <w:bCs/>
                <w:sz w:val="15"/>
                <w:szCs w:val="15"/>
              </w:rPr>
            </w:pPr>
            <w:r>
              <w:rPr>
                <w:rFonts w:hint="eastAsia"/>
                <w:bCs/>
                <w:sz w:val="15"/>
                <w:szCs w:val="15"/>
              </w:rPr>
              <w:t xml:space="preserve">40.00 </w:t>
            </w:r>
          </w:p>
        </w:tc>
        <w:tc>
          <w:tcPr>
            <w:tcW w:w="770" w:type="dxa"/>
            <w:tcBorders>
              <w:top w:val="nil"/>
              <w:left w:val="nil"/>
              <w:bottom w:val="nil"/>
              <w:right w:val="nil"/>
            </w:tcBorders>
            <w:shd w:val="clear" w:color="auto" w:fill="auto"/>
            <w:noWrap/>
            <w:vAlign w:val="center"/>
          </w:tcPr>
          <w:p w14:paraId="5C455011" w14:textId="77777777" w:rsidR="0025680F" w:rsidRDefault="00D201ED">
            <w:pPr>
              <w:snapToGrid w:val="0"/>
              <w:jc w:val="center"/>
              <w:rPr>
                <w:bCs/>
                <w:sz w:val="15"/>
                <w:szCs w:val="15"/>
              </w:rPr>
            </w:pPr>
            <w:r>
              <w:rPr>
                <w:rFonts w:hint="eastAsia"/>
                <w:bCs/>
                <w:sz w:val="15"/>
                <w:szCs w:val="15"/>
              </w:rPr>
              <w:t xml:space="preserve">60.00 </w:t>
            </w:r>
          </w:p>
        </w:tc>
        <w:tc>
          <w:tcPr>
            <w:tcW w:w="890" w:type="dxa"/>
            <w:tcBorders>
              <w:top w:val="nil"/>
              <w:left w:val="nil"/>
              <w:bottom w:val="nil"/>
              <w:right w:val="nil"/>
            </w:tcBorders>
            <w:shd w:val="clear" w:color="auto" w:fill="auto"/>
            <w:noWrap/>
            <w:vAlign w:val="center"/>
          </w:tcPr>
          <w:p w14:paraId="313E602A" w14:textId="77777777" w:rsidR="0025680F" w:rsidRDefault="00D201ED">
            <w:pPr>
              <w:snapToGrid w:val="0"/>
              <w:jc w:val="center"/>
              <w:rPr>
                <w:bCs/>
                <w:sz w:val="15"/>
                <w:szCs w:val="15"/>
              </w:rPr>
            </w:pPr>
            <w:r>
              <w:rPr>
                <w:rFonts w:hint="eastAsia"/>
                <w:bCs/>
                <w:sz w:val="15"/>
                <w:szCs w:val="15"/>
              </w:rPr>
              <w:t xml:space="preserve">40.00 </w:t>
            </w:r>
          </w:p>
        </w:tc>
        <w:tc>
          <w:tcPr>
            <w:tcW w:w="891" w:type="dxa"/>
            <w:tcBorders>
              <w:top w:val="nil"/>
              <w:left w:val="nil"/>
              <w:bottom w:val="nil"/>
              <w:right w:val="nil"/>
            </w:tcBorders>
            <w:shd w:val="clear" w:color="auto" w:fill="auto"/>
            <w:noWrap/>
            <w:vAlign w:val="center"/>
          </w:tcPr>
          <w:p w14:paraId="2C1DA150" w14:textId="77777777" w:rsidR="0025680F" w:rsidRDefault="00D201ED">
            <w:pPr>
              <w:snapToGrid w:val="0"/>
              <w:jc w:val="center"/>
              <w:rPr>
                <w:bCs/>
                <w:sz w:val="15"/>
                <w:szCs w:val="15"/>
              </w:rPr>
            </w:pPr>
            <w:r>
              <w:rPr>
                <w:rFonts w:hint="eastAsia"/>
                <w:bCs/>
                <w:sz w:val="15"/>
                <w:szCs w:val="15"/>
              </w:rPr>
              <w:t xml:space="preserve">30.00 </w:t>
            </w:r>
          </w:p>
        </w:tc>
        <w:tc>
          <w:tcPr>
            <w:tcW w:w="771" w:type="dxa"/>
            <w:tcBorders>
              <w:top w:val="nil"/>
              <w:left w:val="nil"/>
              <w:bottom w:val="nil"/>
              <w:right w:val="nil"/>
            </w:tcBorders>
            <w:shd w:val="clear" w:color="auto" w:fill="auto"/>
            <w:noWrap/>
            <w:vAlign w:val="center"/>
          </w:tcPr>
          <w:p w14:paraId="2B670A74" w14:textId="77777777" w:rsidR="0025680F" w:rsidRDefault="00D201ED">
            <w:pPr>
              <w:snapToGrid w:val="0"/>
              <w:jc w:val="center"/>
              <w:rPr>
                <w:bCs/>
                <w:sz w:val="15"/>
                <w:szCs w:val="15"/>
              </w:rPr>
            </w:pPr>
            <w:r>
              <w:rPr>
                <w:rFonts w:hint="eastAsia"/>
                <w:bCs/>
                <w:sz w:val="15"/>
                <w:szCs w:val="15"/>
              </w:rPr>
              <w:t xml:space="preserve">30.00 </w:t>
            </w:r>
          </w:p>
        </w:tc>
        <w:tc>
          <w:tcPr>
            <w:tcW w:w="771" w:type="dxa"/>
            <w:tcBorders>
              <w:top w:val="nil"/>
              <w:left w:val="nil"/>
              <w:bottom w:val="nil"/>
              <w:right w:val="nil"/>
            </w:tcBorders>
            <w:shd w:val="clear" w:color="auto" w:fill="auto"/>
            <w:noWrap/>
            <w:vAlign w:val="center"/>
          </w:tcPr>
          <w:p w14:paraId="331FFCC4" w14:textId="77777777" w:rsidR="0025680F" w:rsidRDefault="00D201ED">
            <w:pPr>
              <w:snapToGrid w:val="0"/>
              <w:jc w:val="center"/>
              <w:rPr>
                <w:bCs/>
                <w:sz w:val="15"/>
                <w:szCs w:val="15"/>
              </w:rPr>
            </w:pPr>
            <w:r>
              <w:rPr>
                <w:rFonts w:hint="eastAsia"/>
                <w:bCs/>
                <w:sz w:val="15"/>
                <w:szCs w:val="15"/>
              </w:rPr>
              <w:t xml:space="preserve">20.00 </w:t>
            </w:r>
          </w:p>
        </w:tc>
        <w:tc>
          <w:tcPr>
            <w:tcW w:w="891" w:type="dxa"/>
            <w:tcBorders>
              <w:top w:val="nil"/>
              <w:left w:val="nil"/>
              <w:bottom w:val="nil"/>
              <w:right w:val="nil"/>
            </w:tcBorders>
            <w:shd w:val="clear" w:color="auto" w:fill="auto"/>
            <w:noWrap/>
            <w:vAlign w:val="center"/>
          </w:tcPr>
          <w:p w14:paraId="56CB6C11" w14:textId="77777777" w:rsidR="0025680F" w:rsidRDefault="00D201ED">
            <w:pPr>
              <w:snapToGrid w:val="0"/>
              <w:jc w:val="center"/>
              <w:rPr>
                <w:bCs/>
                <w:sz w:val="15"/>
                <w:szCs w:val="15"/>
              </w:rPr>
            </w:pPr>
            <w:r>
              <w:rPr>
                <w:rFonts w:hint="eastAsia"/>
                <w:bCs/>
                <w:sz w:val="15"/>
                <w:szCs w:val="15"/>
              </w:rPr>
              <w:t xml:space="preserve">-20.00 </w:t>
            </w:r>
          </w:p>
        </w:tc>
        <w:tc>
          <w:tcPr>
            <w:tcW w:w="771" w:type="dxa"/>
            <w:tcBorders>
              <w:top w:val="nil"/>
              <w:left w:val="nil"/>
              <w:bottom w:val="nil"/>
              <w:right w:val="nil"/>
            </w:tcBorders>
            <w:shd w:val="clear" w:color="auto" w:fill="auto"/>
            <w:noWrap/>
            <w:vAlign w:val="center"/>
          </w:tcPr>
          <w:p w14:paraId="4F5282D1" w14:textId="77777777" w:rsidR="0025680F" w:rsidRDefault="00D201ED">
            <w:pPr>
              <w:snapToGrid w:val="0"/>
              <w:jc w:val="center"/>
              <w:rPr>
                <w:bCs/>
                <w:sz w:val="15"/>
                <w:szCs w:val="15"/>
              </w:rPr>
            </w:pPr>
            <w:r>
              <w:rPr>
                <w:rFonts w:hint="eastAsia"/>
                <w:bCs/>
                <w:sz w:val="15"/>
                <w:szCs w:val="15"/>
              </w:rPr>
              <w:t xml:space="preserve">60.00 </w:t>
            </w:r>
          </w:p>
        </w:tc>
        <w:tc>
          <w:tcPr>
            <w:tcW w:w="651" w:type="dxa"/>
            <w:tcBorders>
              <w:top w:val="nil"/>
              <w:left w:val="nil"/>
              <w:bottom w:val="nil"/>
              <w:right w:val="nil"/>
            </w:tcBorders>
            <w:shd w:val="clear" w:color="auto" w:fill="auto"/>
            <w:noWrap/>
            <w:vAlign w:val="center"/>
          </w:tcPr>
          <w:p w14:paraId="10775BF2" w14:textId="77777777" w:rsidR="0025680F" w:rsidRDefault="00D201ED">
            <w:pPr>
              <w:snapToGrid w:val="0"/>
              <w:jc w:val="center"/>
              <w:rPr>
                <w:bCs/>
                <w:sz w:val="15"/>
                <w:szCs w:val="15"/>
              </w:rPr>
            </w:pPr>
            <w:r>
              <w:rPr>
                <w:rFonts w:hint="eastAsia"/>
                <w:bCs/>
                <w:sz w:val="15"/>
                <w:szCs w:val="15"/>
              </w:rPr>
              <w:t xml:space="preserve">3.00 </w:t>
            </w:r>
          </w:p>
        </w:tc>
        <w:tc>
          <w:tcPr>
            <w:tcW w:w="651" w:type="dxa"/>
            <w:tcBorders>
              <w:top w:val="nil"/>
              <w:left w:val="nil"/>
              <w:bottom w:val="nil"/>
              <w:right w:val="nil"/>
            </w:tcBorders>
            <w:shd w:val="clear" w:color="auto" w:fill="auto"/>
            <w:noWrap/>
            <w:vAlign w:val="center"/>
          </w:tcPr>
          <w:p w14:paraId="3256001E" w14:textId="77777777" w:rsidR="0025680F" w:rsidRDefault="00D201ED">
            <w:pPr>
              <w:snapToGrid w:val="0"/>
              <w:jc w:val="center"/>
              <w:rPr>
                <w:bCs/>
                <w:sz w:val="15"/>
                <w:szCs w:val="15"/>
              </w:rPr>
            </w:pPr>
            <w:r>
              <w:rPr>
                <w:rFonts w:hint="eastAsia"/>
                <w:bCs/>
                <w:sz w:val="15"/>
                <w:szCs w:val="15"/>
              </w:rPr>
              <w:t xml:space="preserve">0.50 </w:t>
            </w:r>
          </w:p>
        </w:tc>
        <w:tc>
          <w:tcPr>
            <w:tcW w:w="771" w:type="dxa"/>
            <w:tcBorders>
              <w:top w:val="nil"/>
              <w:left w:val="nil"/>
              <w:bottom w:val="nil"/>
              <w:right w:val="nil"/>
            </w:tcBorders>
            <w:shd w:val="clear" w:color="auto" w:fill="auto"/>
            <w:noWrap/>
            <w:vAlign w:val="center"/>
          </w:tcPr>
          <w:p w14:paraId="0201F73F" w14:textId="77777777" w:rsidR="0025680F" w:rsidRDefault="00D201ED">
            <w:pPr>
              <w:snapToGrid w:val="0"/>
              <w:jc w:val="center"/>
              <w:rPr>
                <w:bCs/>
                <w:sz w:val="15"/>
                <w:szCs w:val="15"/>
              </w:rPr>
            </w:pPr>
            <w:r>
              <w:rPr>
                <w:rFonts w:hint="eastAsia"/>
                <w:bCs/>
                <w:sz w:val="15"/>
                <w:szCs w:val="15"/>
              </w:rPr>
              <w:t xml:space="preserve">31.00 </w:t>
            </w:r>
          </w:p>
        </w:tc>
      </w:tr>
      <w:tr w:rsidR="0025680F" w14:paraId="6F497C7D" w14:textId="77777777">
        <w:trPr>
          <w:jc w:val="center"/>
        </w:trPr>
        <w:tc>
          <w:tcPr>
            <w:tcW w:w="816" w:type="dxa"/>
            <w:tcBorders>
              <w:top w:val="nil"/>
              <w:left w:val="nil"/>
              <w:bottom w:val="nil"/>
              <w:right w:val="nil"/>
            </w:tcBorders>
            <w:shd w:val="clear" w:color="auto" w:fill="auto"/>
            <w:noWrap/>
            <w:vAlign w:val="center"/>
          </w:tcPr>
          <w:p w14:paraId="3330943F" w14:textId="77777777" w:rsidR="0025680F" w:rsidRDefault="00D201ED">
            <w:pPr>
              <w:snapToGrid w:val="0"/>
              <w:jc w:val="center"/>
              <w:rPr>
                <w:bCs/>
                <w:sz w:val="15"/>
                <w:szCs w:val="15"/>
              </w:rPr>
            </w:pPr>
            <w:r>
              <w:rPr>
                <w:rFonts w:hint="eastAsia"/>
                <w:bCs/>
                <w:sz w:val="15"/>
                <w:szCs w:val="15"/>
              </w:rPr>
              <w:t>深圳宝安机场</w:t>
            </w:r>
          </w:p>
        </w:tc>
        <w:tc>
          <w:tcPr>
            <w:tcW w:w="770" w:type="dxa"/>
            <w:tcBorders>
              <w:top w:val="nil"/>
              <w:left w:val="nil"/>
              <w:bottom w:val="nil"/>
              <w:right w:val="nil"/>
            </w:tcBorders>
            <w:shd w:val="clear" w:color="auto" w:fill="auto"/>
            <w:noWrap/>
            <w:vAlign w:val="center"/>
          </w:tcPr>
          <w:p w14:paraId="5907388A" w14:textId="77777777" w:rsidR="0025680F" w:rsidRDefault="00D201ED">
            <w:pPr>
              <w:snapToGrid w:val="0"/>
              <w:jc w:val="center"/>
              <w:rPr>
                <w:bCs/>
                <w:sz w:val="15"/>
                <w:szCs w:val="15"/>
              </w:rPr>
            </w:pPr>
            <w:r>
              <w:rPr>
                <w:rFonts w:hint="eastAsia"/>
                <w:bCs/>
                <w:sz w:val="15"/>
                <w:szCs w:val="15"/>
              </w:rPr>
              <w:t xml:space="preserve">50.00 </w:t>
            </w:r>
          </w:p>
        </w:tc>
        <w:tc>
          <w:tcPr>
            <w:tcW w:w="770" w:type="dxa"/>
            <w:tcBorders>
              <w:top w:val="nil"/>
              <w:left w:val="nil"/>
              <w:bottom w:val="nil"/>
              <w:right w:val="nil"/>
            </w:tcBorders>
            <w:shd w:val="clear" w:color="auto" w:fill="auto"/>
            <w:noWrap/>
            <w:vAlign w:val="center"/>
          </w:tcPr>
          <w:p w14:paraId="4C61B055" w14:textId="77777777" w:rsidR="0025680F" w:rsidRDefault="00D201ED">
            <w:pPr>
              <w:snapToGrid w:val="0"/>
              <w:jc w:val="center"/>
              <w:rPr>
                <w:bCs/>
                <w:sz w:val="15"/>
                <w:szCs w:val="15"/>
              </w:rPr>
            </w:pPr>
            <w:r>
              <w:rPr>
                <w:rFonts w:hint="eastAsia"/>
                <w:bCs/>
                <w:sz w:val="15"/>
                <w:szCs w:val="15"/>
              </w:rPr>
              <w:t xml:space="preserve">60.00 </w:t>
            </w:r>
          </w:p>
        </w:tc>
        <w:tc>
          <w:tcPr>
            <w:tcW w:w="770" w:type="dxa"/>
            <w:tcBorders>
              <w:top w:val="nil"/>
              <w:left w:val="nil"/>
              <w:bottom w:val="nil"/>
              <w:right w:val="nil"/>
            </w:tcBorders>
            <w:shd w:val="clear" w:color="auto" w:fill="auto"/>
            <w:noWrap/>
            <w:vAlign w:val="center"/>
          </w:tcPr>
          <w:p w14:paraId="20EFB16A" w14:textId="77777777" w:rsidR="0025680F" w:rsidRDefault="00D201ED">
            <w:pPr>
              <w:snapToGrid w:val="0"/>
              <w:jc w:val="center"/>
              <w:rPr>
                <w:bCs/>
                <w:sz w:val="15"/>
                <w:szCs w:val="15"/>
              </w:rPr>
            </w:pPr>
            <w:r>
              <w:rPr>
                <w:rFonts w:hint="eastAsia"/>
                <w:bCs/>
                <w:sz w:val="15"/>
                <w:szCs w:val="15"/>
              </w:rPr>
              <w:t xml:space="preserve">30.00 </w:t>
            </w:r>
          </w:p>
        </w:tc>
        <w:tc>
          <w:tcPr>
            <w:tcW w:w="890" w:type="dxa"/>
            <w:tcBorders>
              <w:top w:val="nil"/>
              <w:left w:val="nil"/>
              <w:bottom w:val="nil"/>
              <w:right w:val="nil"/>
            </w:tcBorders>
            <w:shd w:val="clear" w:color="auto" w:fill="auto"/>
            <w:noWrap/>
            <w:vAlign w:val="center"/>
          </w:tcPr>
          <w:p w14:paraId="742CA423" w14:textId="77777777" w:rsidR="0025680F" w:rsidRDefault="00D201ED">
            <w:pPr>
              <w:snapToGrid w:val="0"/>
              <w:jc w:val="center"/>
              <w:rPr>
                <w:bCs/>
                <w:sz w:val="15"/>
                <w:szCs w:val="15"/>
              </w:rPr>
            </w:pPr>
            <w:r>
              <w:rPr>
                <w:rFonts w:hint="eastAsia"/>
                <w:bCs/>
                <w:sz w:val="15"/>
                <w:szCs w:val="15"/>
              </w:rPr>
              <w:t xml:space="preserve">-20.00 </w:t>
            </w:r>
          </w:p>
        </w:tc>
        <w:tc>
          <w:tcPr>
            <w:tcW w:w="891" w:type="dxa"/>
            <w:tcBorders>
              <w:top w:val="nil"/>
              <w:left w:val="nil"/>
              <w:bottom w:val="nil"/>
              <w:right w:val="nil"/>
            </w:tcBorders>
            <w:shd w:val="clear" w:color="auto" w:fill="auto"/>
            <w:noWrap/>
            <w:vAlign w:val="center"/>
          </w:tcPr>
          <w:p w14:paraId="722A49C0" w14:textId="77777777" w:rsidR="0025680F" w:rsidRDefault="00D201ED">
            <w:pPr>
              <w:snapToGrid w:val="0"/>
              <w:jc w:val="center"/>
              <w:rPr>
                <w:bCs/>
                <w:sz w:val="15"/>
                <w:szCs w:val="15"/>
              </w:rPr>
            </w:pPr>
            <w:r>
              <w:rPr>
                <w:rFonts w:hint="eastAsia"/>
                <w:bCs/>
                <w:sz w:val="15"/>
                <w:szCs w:val="15"/>
              </w:rPr>
              <w:t xml:space="preserve">40.00 </w:t>
            </w:r>
          </w:p>
        </w:tc>
        <w:tc>
          <w:tcPr>
            <w:tcW w:w="771" w:type="dxa"/>
            <w:tcBorders>
              <w:top w:val="nil"/>
              <w:left w:val="nil"/>
              <w:bottom w:val="nil"/>
              <w:right w:val="nil"/>
            </w:tcBorders>
            <w:shd w:val="clear" w:color="auto" w:fill="auto"/>
            <w:noWrap/>
            <w:vAlign w:val="center"/>
          </w:tcPr>
          <w:p w14:paraId="22DE2117" w14:textId="77777777" w:rsidR="0025680F" w:rsidRDefault="00D201ED">
            <w:pPr>
              <w:snapToGrid w:val="0"/>
              <w:jc w:val="center"/>
              <w:rPr>
                <w:bCs/>
                <w:sz w:val="15"/>
                <w:szCs w:val="15"/>
              </w:rPr>
            </w:pPr>
            <w:r>
              <w:rPr>
                <w:rFonts w:hint="eastAsia"/>
                <w:bCs/>
                <w:sz w:val="15"/>
                <w:szCs w:val="15"/>
              </w:rPr>
              <w:t xml:space="preserve">20.00 </w:t>
            </w:r>
          </w:p>
        </w:tc>
        <w:tc>
          <w:tcPr>
            <w:tcW w:w="771" w:type="dxa"/>
            <w:tcBorders>
              <w:top w:val="nil"/>
              <w:left w:val="nil"/>
              <w:bottom w:val="nil"/>
              <w:right w:val="nil"/>
            </w:tcBorders>
            <w:shd w:val="clear" w:color="auto" w:fill="auto"/>
            <w:noWrap/>
            <w:vAlign w:val="center"/>
          </w:tcPr>
          <w:p w14:paraId="544DEBEB" w14:textId="77777777" w:rsidR="0025680F" w:rsidRDefault="00D201ED">
            <w:pPr>
              <w:snapToGrid w:val="0"/>
              <w:jc w:val="center"/>
              <w:rPr>
                <w:bCs/>
                <w:sz w:val="15"/>
                <w:szCs w:val="15"/>
              </w:rPr>
            </w:pPr>
            <w:r>
              <w:rPr>
                <w:rFonts w:hint="eastAsia"/>
                <w:bCs/>
                <w:sz w:val="15"/>
                <w:szCs w:val="15"/>
              </w:rPr>
              <w:t xml:space="preserve">20.00 </w:t>
            </w:r>
          </w:p>
        </w:tc>
        <w:tc>
          <w:tcPr>
            <w:tcW w:w="891" w:type="dxa"/>
            <w:tcBorders>
              <w:top w:val="nil"/>
              <w:left w:val="nil"/>
              <w:bottom w:val="nil"/>
              <w:right w:val="nil"/>
            </w:tcBorders>
            <w:shd w:val="clear" w:color="auto" w:fill="auto"/>
            <w:noWrap/>
            <w:vAlign w:val="center"/>
          </w:tcPr>
          <w:p w14:paraId="7E39540B" w14:textId="77777777" w:rsidR="0025680F" w:rsidRDefault="00D201ED">
            <w:pPr>
              <w:snapToGrid w:val="0"/>
              <w:jc w:val="center"/>
              <w:rPr>
                <w:bCs/>
                <w:sz w:val="15"/>
                <w:szCs w:val="15"/>
              </w:rPr>
            </w:pPr>
            <w:r>
              <w:rPr>
                <w:rFonts w:hint="eastAsia"/>
                <w:bCs/>
                <w:sz w:val="15"/>
                <w:szCs w:val="15"/>
              </w:rPr>
              <w:t xml:space="preserve">50.00 </w:t>
            </w:r>
          </w:p>
        </w:tc>
        <w:tc>
          <w:tcPr>
            <w:tcW w:w="771" w:type="dxa"/>
            <w:tcBorders>
              <w:top w:val="nil"/>
              <w:left w:val="nil"/>
              <w:bottom w:val="nil"/>
              <w:right w:val="nil"/>
            </w:tcBorders>
            <w:shd w:val="clear" w:color="auto" w:fill="auto"/>
            <w:noWrap/>
            <w:vAlign w:val="center"/>
          </w:tcPr>
          <w:p w14:paraId="4AE59916" w14:textId="77777777" w:rsidR="0025680F" w:rsidRDefault="00D201ED">
            <w:pPr>
              <w:snapToGrid w:val="0"/>
              <w:jc w:val="center"/>
              <w:rPr>
                <w:bCs/>
                <w:sz w:val="15"/>
                <w:szCs w:val="15"/>
              </w:rPr>
            </w:pPr>
            <w:r>
              <w:rPr>
                <w:rFonts w:hint="eastAsia"/>
                <w:bCs/>
                <w:sz w:val="15"/>
                <w:szCs w:val="15"/>
              </w:rPr>
              <w:t xml:space="preserve">60.00 </w:t>
            </w:r>
          </w:p>
        </w:tc>
        <w:tc>
          <w:tcPr>
            <w:tcW w:w="651" w:type="dxa"/>
            <w:tcBorders>
              <w:top w:val="nil"/>
              <w:left w:val="nil"/>
              <w:bottom w:val="nil"/>
              <w:right w:val="nil"/>
            </w:tcBorders>
            <w:shd w:val="clear" w:color="auto" w:fill="auto"/>
            <w:noWrap/>
            <w:vAlign w:val="center"/>
          </w:tcPr>
          <w:p w14:paraId="44B0EB60" w14:textId="77777777" w:rsidR="0025680F" w:rsidRDefault="00D201ED">
            <w:pPr>
              <w:snapToGrid w:val="0"/>
              <w:jc w:val="center"/>
              <w:rPr>
                <w:bCs/>
                <w:sz w:val="15"/>
                <w:szCs w:val="15"/>
              </w:rPr>
            </w:pPr>
            <w:r>
              <w:rPr>
                <w:rFonts w:hint="eastAsia"/>
                <w:bCs/>
                <w:sz w:val="15"/>
                <w:szCs w:val="15"/>
              </w:rPr>
              <w:t xml:space="preserve">3.00 </w:t>
            </w:r>
          </w:p>
        </w:tc>
        <w:tc>
          <w:tcPr>
            <w:tcW w:w="651" w:type="dxa"/>
            <w:tcBorders>
              <w:top w:val="nil"/>
              <w:left w:val="nil"/>
              <w:bottom w:val="nil"/>
              <w:right w:val="nil"/>
            </w:tcBorders>
            <w:shd w:val="clear" w:color="auto" w:fill="auto"/>
            <w:noWrap/>
            <w:vAlign w:val="center"/>
          </w:tcPr>
          <w:p w14:paraId="35DF9A55" w14:textId="77777777" w:rsidR="0025680F" w:rsidRDefault="00D201ED">
            <w:pPr>
              <w:snapToGrid w:val="0"/>
              <w:jc w:val="center"/>
              <w:rPr>
                <w:bCs/>
                <w:sz w:val="15"/>
                <w:szCs w:val="15"/>
              </w:rPr>
            </w:pPr>
            <w:r>
              <w:rPr>
                <w:rFonts w:hint="eastAsia"/>
                <w:bCs/>
                <w:sz w:val="15"/>
                <w:szCs w:val="15"/>
              </w:rPr>
              <w:t xml:space="preserve">0.60 </w:t>
            </w:r>
          </w:p>
        </w:tc>
        <w:tc>
          <w:tcPr>
            <w:tcW w:w="771" w:type="dxa"/>
            <w:tcBorders>
              <w:top w:val="nil"/>
              <w:left w:val="nil"/>
              <w:bottom w:val="nil"/>
              <w:right w:val="nil"/>
            </w:tcBorders>
            <w:shd w:val="clear" w:color="auto" w:fill="auto"/>
            <w:noWrap/>
            <w:vAlign w:val="center"/>
          </w:tcPr>
          <w:p w14:paraId="10CFAA2F" w14:textId="77777777" w:rsidR="0025680F" w:rsidRDefault="00D201ED">
            <w:pPr>
              <w:snapToGrid w:val="0"/>
              <w:jc w:val="center"/>
              <w:rPr>
                <w:bCs/>
                <w:sz w:val="15"/>
                <w:szCs w:val="15"/>
              </w:rPr>
            </w:pPr>
            <w:r>
              <w:rPr>
                <w:rFonts w:hint="eastAsia"/>
                <w:bCs/>
                <w:sz w:val="15"/>
                <w:szCs w:val="15"/>
              </w:rPr>
              <w:t xml:space="preserve">27.45 </w:t>
            </w:r>
          </w:p>
        </w:tc>
      </w:tr>
      <w:tr w:rsidR="0025680F" w14:paraId="635BABBF" w14:textId="77777777">
        <w:trPr>
          <w:jc w:val="center"/>
        </w:trPr>
        <w:tc>
          <w:tcPr>
            <w:tcW w:w="816" w:type="dxa"/>
            <w:tcBorders>
              <w:top w:val="nil"/>
              <w:left w:val="nil"/>
              <w:bottom w:val="nil"/>
              <w:right w:val="nil"/>
            </w:tcBorders>
            <w:shd w:val="clear" w:color="auto" w:fill="auto"/>
            <w:noWrap/>
            <w:vAlign w:val="center"/>
          </w:tcPr>
          <w:p w14:paraId="7452A7DC" w14:textId="77777777" w:rsidR="0025680F" w:rsidRDefault="00D201ED">
            <w:pPr>
              <w:snapToGrid w:val="0"/>
              <w:jc w:val="center"/>
              <w:rPr>
                <w:bCs/>
                <w:sz w:val="15"/>
                <w:szCs w:val="15"/>
              </w:rPr>
            </w:pPr>
            <w:r>
              <w:rPr>
                <w:rFonts w:hint="eastAsia"/>
                <w:bCs/>
                <w:sz w:val="15"/>
                <w:szCs w:val="15"/>
              </w:rPr>
              <w:t>厦门机场</w:t>
            </w:r>
          </w:p>
        </w:tc>
        <w:tc>
          <w:tcPr>
            <w:tcW w:w="770" w:type="dxa"/>
            <w:tcBorders>
              <w:top w:val="nil"/>
              <w:left w:val="nil"/>
              <w:bottom w:val="nil"/>
              <w:right w:val="nil"/>
            </w:tcBorders>
            <w:shd w:val="clear" w:color="auto" w:fill="auto"/>
            <w:noWrap/>
            <w:vAlign w:val="center"/>
          </w:tcPr>
          <w:p w14:paraId="4E17DA94" w14:textId="77777777" w:rsidR="0025680F" w:rsidRDefault="00D201ED">
            <w:pPr>
              <w:snapToGrid w:val="0"/>
              <w:jc w:val="center"/>
              <w:rPr>
                <w:bCs/>
                <w:sz w:val="15"/>
                <w:szCs w:val="15"/>
              </w:rPr>
            </w:pPr>
            <w:r>
              <w:rPr>
                <w:rFonts w:hint="eastAsia"/>
                <w:bCs/>
                <w:sz w:val="15"/>
                <w:szCs w:val="15"/>
              </w:rPr>
              <w:t xml:space="preserve">50.00 </w:t>
            </w:r>
          </w:p>
        </w:tc>
        <w:tc>
          <w:tcPr>
            <w:tcW w:w="770" w:type="dxa"/>
            <w:tcBorders>
              <w:top w:val="nil"/>
              <w:left w:val="nil"/>
              <w:bottom w:val="nil"/>
              <w:right w:val="nil"/>
            </w:tcBorders>
            <w:shd w:val="clear" w:color="auto" w:fill="auto"/>
            <w:noWrap/>
            <w:vAlign w:val="center"/>
          </w:tcPr>
          <w:p w14:paraId="6DEE25A6" w14:textId="77777777" w:rsidR="0025680F" w:rsidRDefault="00D201ED">
            <w:pPr>
              <w:snapToGrid w:val="0"/>
              <w:jc w:val="center"/>
              <w:rPr>
                <w:bCs/>
                <w:sz w:val="15"/>
                <w:szCs w:val="15"/>
              </w:rPr>
            </w:pPr>
            <w:r>
              <w:rPr>
                <w:rFonts w:hint="eastAsia"/>
                <w:bCs/>
                <w:sz w:val="15"/>
                <w:szCs w:val="15"/>
              </w:rPr>
              <w:t xml:space="preserve">40.00 </w:t>
            </w:r>
          </w:p>
        </w:tc>
        <w:tc>
          <w:tcPr>
            <w:tcW w:w="770" w:type="dxa"/>
            <w:tcBorders>
              <w:top w:val="nil"/>
              <w:left w:val="nil"/>
              <w:bottom w:val="nil"/>
              <w:right w:val="nil"/>
            </w:tcBorders>
            <w:shd w:val="clear" w:color="auto" w:fill="auto"/>
            <w:noWrap/>
            <w:vAlign w:val="center"/>
          </w:tcPr>
          <w:p w14:paraId="0D9D9ED7" w14:textId="77777777" w:rsidR="0025680F" w:rsidRDefault="00D201ED">
            <w:pPr>
              <w:snapToGrid w:val="0"/>
              <w:jc w:val="center"/>
              <w:rPr>
                <w:bCs/>
                <w:sz w:val="15"/>
                <w:szCs w:val="15"/>
              </w:rPr>
            </w:pPr>
            <w:r>
              <w:rPr>
                <w:rFonts w:hint="eastAsia"/>
                <w:bCs/>
                <w:sz w:val="15"/>
                <w:szCs w:val="15"/>
              </w:rPr>
              <w:t xml:space="preserve">50.00 </w:t>
            </w:r>
          </w:p>
        </w:tc>
        <w:tc>
          <w:tcPr>
            <w:tcW w:w="890" w:type="dxa"/>
            <w:tcBorders>
              <w:top w:val="nil"/>
              <w:left w:val="nil"/>
              <w:bottom w:val="nil"/>
              <w:right w:val="nil"/>
            </w:tcBorders>
            <w:shd w:val="clear" w:color="auto" w:fill="auto"/>
            <w:noWrap/>
            <w:vAlign w:val="center"/>
          </w:tcPr>
          <w:p w14:paraId="22D07AA8" w14:textId="77777777" w:rsidR="0025680F" w:rsidRDefault="00D201ED">
            <w:pPr>
              <w:snapToGrid w:val="0"/>
              <w:jc w:val="center"/>
              <w:rPr>
                <w:bCs/>
                <w:sz w:val="15"/>
                <w:szCs w:val="15"/>
              </w:rPr>
            </w:pPr>
            <w:r>
              <w:rPr>
                <w:rFonts w:hint="eastAsia"/>
                <w:bCs/>
                <w:sz w:val="15"/>
                <w:szCs w:val="15"/>
              </w:rPr>
              <w:t xml:space="preserve">60.00 </w:t>
            </w:r>
          </w:p>
        </w:tc>
        <w:tc>
          <w:tcPr>
            <w:tcW w:w="891" w:type="dxa"/>
            <w:tcBorders>
              <w:top w:val="nil"/>
              <w:left w:val="nil"/>
              <w:bottom w:val="nil"/>
              <w:right w:val="nil"/>
            </w:tcBorders>
            <w:shd w:val="clear" w:color="auto" w:fill="auto"/>
            <w:noWrap/>
            <w:vAlign w:val="center"/>
          </w:tcPr>
          <w:p w14:paraId="7A2C0823" w14:textId="77777777" w:rsidR="0025680F" w:rsidRDefault="00D201ED">
            <w:pPr>
              <w:snapToGrid w:val="0"/>
              <w:jc w:val="center"/>
              <w:rPr>
                <w:bCs/>
                <w:sz w:val="15"/>
                <w:szCs w:val="15"/>
              </w:rPr>
            </w:pPr>
            <w:r>
              <w:rPr>
                <w:rFonts w:hint="eastAsia"/>
                <w:bCs/>
                <w:sz w:val="15"/>
                <w:szCs w:val="15"/>
              </w:rPr>
              <w:t xml:space="preserve">60.00 </w:t>
            </w:r>
          </w:p>
        </w:tc>
        <w:tc>
          <w:tcPr>
            <w:tcW w:w="771" w:type="dxa"/>
            <w:tcBorders>
              <w:top w:val="nil"/>
              <w:left w:val="nil"/>
              <w:bottom w:val="nil"/>
              <w:right w:val="nil"/>
            </w:tcBorders>
            <w:shd w:val="clear" w:color="auto" w:fill="auto"/>
            <w:noWrap/>
            <w:vAlign w:val="center"/>
          </w:tcPr>
          <w:p w14:paraId="7AE55D82" w14:textId="77777777" w:rsidR="0025680F" w:rsidRDefault="00D201ED">
            <w:pPr>
              <w:snapToGrid w:val="0"/>
              <w:jc w:val="center"/>
              <w:rPr>
                <w:bCs/>
                <w:sz w:val="15"/>
                <w:szCs w:val="15"/>
              </w:rPr>
            </w:pPr>
            <w:r>
              <w:rPr>
                <w:rFonts w:hint="eastAsia"/>
                <w:bCs/>
                <w:sz w:val="15"/>
                <w:szCs w:val="15"/>
              </w:rPr>
              <w:t xml:space="preserve">0.00 </w:t>
            </w:r>
          </w:p>
        </w:tc>
        <w:tc>
          <w:tcPr>
            <w:tcW w:w="771" w:type="dxa"/>
            <w:tcBorders>
              <w:top w:val="nil"/>
              <w:left w:val="nil"/>
              <w:bottom w:val="nil"/>
              <w:right w:val="nil"/>
            </w:tcBorders>
            <w:shd w:val="clear" w:color="auto" w:fill="auto"/>
            <w:noWrap/>
            <w:vAlign w:val="center"/>
          </w:tcPr>
          <w:p w14:paraId="6314D067" w14:textId="77777777" w:rsidR="0025680F" w:rsidRDefault="00D201ED">
            <w:pPr>
              <w:snapToGrid w:val="0"/>
              <w:jc w:val="center"/>
              <w:rPr>
                <w:bCs/>
                <w:sz w:val="15"/>
                <w:szCs w:val="15"/>
              </w:rPr>
            </w:pPr>
            <w:r>
              <w:rPr>
                <w:rFonts w:hint="eastAsia"/>
                <w:bCs/>
                <w:sz w:val="15"/>
                <w:szCs w:val="15"/>
              </w:rPr>
              <w:t xml:space="preserve">10.00 </w:t>
            </w:r>
          </w:p>
        </w:tc>
        <w:tc>
          <w:tcPr>
            <w:tcW w:w="891" w:type="dxa"/>
            <w:tcBorders>
              <w:top w:val="nil"/>
              <w:left w:val="nil"/>
              <w:bottom w:val="nil"/>
              <w:right w:val="nil"/>
            </w:tcBorders>
            <w:shd w:val="clear" w:color="auto" w:fill="auto"/>
            <w:noWrap/>
            <w:vAlign w:val="center"/>
          </w:tcPr>
          <w:p w14:paraId="2E4CF338" w14:textId="77777777" w:rsidR="0025680F" w:rsidRDefault="00D201ED">
            <w:pPr>
              <w:snapToGrid w:val="0"/>
              <w:jc w:val="center"/>
              <w:rPr>
                <w:bCs/>
                <w:sz w:val="15"/>
                <w:szCs w:val="15"/>
              </w:rPr>
            </w:pPr>
            <w:r>
              <w:rPr>
                <w:rFonts w:hint="eastAsia"/>
                <w:bCs/>
                <w:sz w:val="15"/>
                <w:szCs w:val="15"/>
              </w:rPr>
              <w:t xml:space="preserve">50.00 </w:t>
            </w:r>
          </w:p>
        </w:tc>
        <w:tc>
          <w:tcPr>
            <w:tcW w:w="771" w:type="dxa"/>
            <w:tcBorders>
              <w:top w:val="nil"/>
              <w:left w:val="nil"/>
              <w:bottom w:val="nil"/>
              <w:right w:val="nil"/>
            </w:tcBorders>
            <w:shd w:val="clear" w:color="auto" w:fill="auto"/>
            <w:noWrap/>
            <w:vAlign w:val="center"/>
          </w:tcPr>
          <w:p w14:paraId="36C11973" w14:textId="77777777" w:rsidR="0025680F" w:rsidRDefault="00D201ED">
            <w:pPr>
              <w:snapToGrid w:val="0"/>
              <w:jc w:val="center"/>
              <w:rPr>
                <w:bCs/>
                <w:sz w:val="15"/>
                <w:szCs w:val="15"/>
              </w:rPr>
            </w:pPr>
            <w:r>
              <w:rPr>
                <w:rFonts w:hint="eastAsia"/>
                <w:bCs/>
                <w:sz w:val="15"/>
                <w:szCs w:val="15"/>
              </w:rPr>
              <w:t xml:space="preserve">80.00 </w:t>
            </w:r>
          </w:p>
        </w:tc>
        <w:tc>
          <w:tcPr>
            <w:tcW w:w="651" w:type="dxa"/>
            <w:tcBorders>
              <w:top w:val="nil"/>
              <w:left w:val="nil"/>
              <w:bottom w:val="nil"/>
              <w:right w:val="nil"/>
            </w:tcBorders>
            <w:shd w:val="clear" w:color="auto" w:fill="auto"/>
            <w:noWrap/>
            <w:vAlign w:val="center"/>
          </w:tcPr>
          <w:p w14:paraId="45422B0D" w14:textId="77777777" w:rsidR="0025680F" w:rsidRDefault="00D201ED">
            <w:pPr>
              <w:snapToGrid w:val="0"/>
              <w:jc w:val="center"/>
              <w:rPr>
                <w:bCs/>
                <w:sz w:val="15"/>
                <w:szCs w:val="15"/>
              </w:rPr>
            </w:pPr>
            <w:r>
              <w:rPr>
                <w:rFonts w:hint="eastAsia"/>
                <w:bCs/>
                <w:sz w:val="15"/>
                <w:szCs w:val="15"/>
              </w:rPr>
              <w:t xml:space="preserve">1.00 </w:t>
            </w:r>
          </w:p>
        </w:tc>
        <w:tc>
          <w:tcPr>
            <w:tcW w:w="651" w:type="dxa"/>
            <w:tcBorders>
              <w:top w:val="nil"/>
              <w:left w:val="nil"/>
              <w:bottom w:val="nil"/>
              <w:right w:val="nil"/>
            </w:tcBorders>
            <w:shd w:val="clear" w:color="auto" w:fill="auto"/>
            <w:noWrap/>
            <w:vAlign w:val="center"/>
          </w:tcPr>
          <w:p w14:paraId="713E6494" w14:textId="77777777" w:rsidR="0025680F" w:rsidRDefault="00D201ED">
            <w:pPr>
              <w:snapToGrid w:val="0"/>
              <w:jc w:val="center"/>
              <w:rPr>
                <w:bCs/>
                <w:sz w:val="15"/>
                <w:szCs w:val="15"/>
              </w:rPr>
            </w:pPr>
            <w:r>
              <w:rPr>
                <w:rFonts w:hint="eastAsia"/>
                <w:bCs/>
                <w:sz w:val="15"/>
                <w:szCs w:val="15"/>
              </w:rPr>
              <w:t xml:space="preserve">0.40 </w:t>
            </w:r>
          </w:p>
        </w:tc>
        <w:tc>
          <w:tcPr>
            <w:tcW w:w="771" w:type="dxa"/>
            <w:tcBorders>
              <w:top w:val="nil"/>
              <w:left w:val="nil"/>
              <w:bottom w:val="nil"/>
              <w:right w:val="nil"/>
            </w:tcBorders>
            <w:shd w:val="clear" w:color="auto" w:fill="auto"/>
            <w:noWrap/>
            <w:vAlign w:val="center"/>
          </w:tcPr>
          <w:p w14:paraId="39123000" w14:textId="77777777" w:rsidR="0025680F" w:rsidRDefault="00D201ED">
            <w:pPr>
              <w:snapToGrid w:val="0"/>
              <w:jc w:val="center"/>
              <w:rPr>
                <w:bCs/>
                <w:sz w:val="15"/>
                <w:szCs w:val="15"/>
              </w:rPr>
            </w:pPr>
            <w:r>
              <w:rPr>
                <w:rFonts w:hint="eastAsia"/>
                <w:bCs/>
                <w:sz w:val="15"/>
                <w:szCs w:val="15"/>
              </w:rPr>
              <w:t xml:space="preserve">24.30 </w:t>
            </w:r>
          </w:p>
        </w:tc>
      </w:tr>
      <w:tr w:rsidR="0025680F" w14:paraId="11831EB8" w14:textId="77777777">
        <w:trPr>
          <w:jc w:val="center"/>
        </w:trPr>
        <w:tc>
          <w:tcPr>
            <w:tcW w:w="816" w:type="dxa"/>
            <w:tcBorders>
              <w:top w:val="nil"/>
              <w:left w:val="nil"/>
              <w:right w:val="nil"/>
            </w:tcBorders>
            <w:shd w:val="clear" w:color="auto" w:fill="auto"/>
            <w:noWrap/>
            <w:vAlign w:val="center"/>
          </w:tcPr>
          <w:p w14:paraId="53D17922" w14:textId="77777777" w:rsidR="0025680F" w:rsidRDefault="00D201ED">
            <w:pPr>
              <w:snapToGrid w:val="0"/>
              <w:jc w:val="center"/>
              <w:rPr>
                <w:bCs/>
                <w:sz w:val="15"/>
                <w:szCs w:val="15"/>
              </w:rPr>
            </w:pPr>
            <w:r>
              <w:rPr>
                <w:rFonts w:hint="eastAsia"/>
                <w:bCs/>
                <w:sz w:val="15"/>
                <w:szCs w:val="15"/>
              </w:rPr>
              <w:t>杭州萧山机场</w:t>
            </w:r>
          </w:p>
        </w:tc>
        <w:tc>
          <w:tcPr>
            <w:tcW w:w="770" w:type="dxa"/>
            <w:tcBorders>
              <w:top w:val="nil"/>
              <w:left w:val="nil"/>
              <w:right w:val="nil"/>
            </w:tcBorders>
            <w:shd w:val="clear" w:color="auto" w:fill="auto"/>
            <w:noWrap/>
            <w:vAlign w:val="center"/>
          </w:tcPr>
          <w:p w14:paraId="4BA1A1CB" w14:textId="77777777" w:rsidR="0025680F" w:rsidRDefault="00D201ED">
            <w:pPr>
              <w:snapToGrid w:val="0"/>
              <w:jc w:val="center"/>
              <w:rPr>
                <w:bCs/>
                <w:sz w:val="15"/>
                <w:szCs w:val="15"/>
              </w:rPr>
            </w:pPr>
            <w:r>
              <w:rPr>
                <w:rFonts w:hint="eastAsia"/>
                <w:bCs/>
                <w:sz w:val="15"/>
                <w:szCs w:val="15"/>
              </w:rPr>
              <w:t xml:space="preserve">40.00 </w:t>
            </w:r>
          </w:p>
        </w:tc>
        <w:tc>
          <w:tcPr>
            <w:tcW w:w="770" w:type="dxa"/>
            <w:tcBorders>
              <w:top w:val="nil"/>
              <w:left w:val="nil"/>
              <w:right w:val="nil"/>
            </w:tcBorders>
            <w:shd w:val="clear" w:color="auto" w:fill="auto"/>
            <w:noWrap/>
            <w:vAlign w:val="center"/>
          </w:tcPr>
          <w:p w14:paraId="705DBC5D" w14:textId="77777777" w:rsidR="0025680F" w:rsidRDefault="00D201ED">
            <w:pPr>
              <w:snapToGrid w:val="0"/>
              <w:jc w:val="center"/>
              <w:rPr>
                <w:bCs/>
                <w:sz w:val="15"/>
                <w:szCs w:val="15"/>
              </w:rPr>
            </w:pPr>
            <w:r>
              <w:rPr>
                <w:rFonts w:hint="eastAsia"/>
                <w:bCs/>
                <w:sz w:val="15"/>
                <w:szCs w:val="15"/>
              </w:rPr>
              <w:t xml:space="preserve">20.00 </w:t>
            </w:r>
          </w:p>
        </w:tc>
        <w:tc>
          <w:tcPr>
            <w:tcW w:w="770" w:type="dxa"/>
            <w:tcBorders>
              <w:top w:val="nil"/>
              <w:left w:val="nil"/>
              <w:right w:val="nil"/>
            </w:tcBorders>
            <w:shd w:val="clear" w:color="auto" w:fill="auto"/>
            <w:noWrap/>
            <w:vAlign w:val="center"/>
          </w:tcPr>
          <w:p w14:paraId="24AB7B77" w14:textId="77777777" w:rsidR="0025680F" w:rsidRDefault="00D201ED">
            <w:pPr>
              <w:snapToGrid w:val="0"/>
              <w:jc w:val="center"/>
              <w:rPr>
                <w:bCs/>
                <w:sz w:val="15"/>
                <w:szCs w:val="15"/>
              </w:rPr>
            </w:pPr>
            <w:r>
              <w:rPr>
                <w:rFonts w:hint="eastAsia"/>
                <w:bCs/>
                <w:sz w:val="15"/>
                <w:szCs w:val="15"/>
              </w:rPr>
              <w:t xml:space="preserve">30.00 </w:t>
            </w:r>
          </w:p>
        </w:tc>
        <w:tc>
          <w:tcPr>
            <w:tcW w:w="890" w:type="dxa"/>
            <w:tcBorders>
              <w:top w:val="nil"/>
              <w:left w:val="nil"/>
              <w:right w:val="nil"/>
            </w:tcBorders>
            <w:shd w:val="clear" w:color="auto" w:fill="auto"/>
            <w:noWrap/>
            <w:vAlign w:val="center"/>
          </w:tcPr>
          <w:p w14:paraId="1540FFED" w14:textId="77777777" w:rsidR="0025680F" w:rsidRDefault="00D201ED">
            <w:pPr>
              <w:snapToGrid w:val="0"/>
              <w:jc w:val="center"/>
              <w:rPr>
                <w:bCs/>
                <w:sz w:val="15"/>
                <w:szCs w:val="15"/>
              </w:rPr>
            </w:pPr>
            <w:r>
              <w:rPr>
                <w:rFonts w:hint="eastAsia"/>
                <w:bCs/>
                <w:sz w:val="15"/>
                <w:szCs w:val="15"/>
              </w:rPr>
              <w:t xml:space="preserve">-20.00 </w:t>
            </w:r>
          </w:p>
        </w:tc>
        <w:tc>
          <w:tcPr>
            <w:tcW w:w="891" w:type="dxa"/>
            <w:tcBorders>
              <w:top w:val="nil"/>
              <w:left w:val="nil"/>
              <w:right w:val="nil"/>
            </w:tcBorders>
            <w:shd w:val="clear" w:color="auto" w:fill="auto"/>
            <w:noWrap/>
            <w:vAlign w:val="center"/>
          </w:tcPr>
          <w:p w14:paraId="4C4A3570" w14:textId="77777777" w:rsidR="0025680F" w:rsidRDefault="00D201ED">
            <w:pPr>
              <w:snapToGrid w:val="0"/>
              <w:jc w:val="center"/>
              <w:rPr>
                <w:bCs/>
                <w:sz w:val="15"/>
                <w:szCs w:val="15"/>
              </w:rPr>
            </w:pPr>
            <w:r>
              <w:rPr>
                <w:rFonts w:hint="eastAsia"/>
                <w:bCs/>
                <w:sz w:val="15"/>
                <w:szCs w:val="15"/>
              </w:rPr>
              <w:t xml:space="preserve">60.00 </w:t>
            </w:r>
          </w:p>
        </w:tc>
        <w:tc>
          <w:tcPr>
            <w:tcW w:w="771" w:type="dxa"/>
            <w:tcBorders>
              <w:top w:val="nil"/>
              <w:left w:val="nil"/>
              <w:right w:val="nil"/>
            </w:tcBorders>
            <w:shd w:val="clear" w:color="auto" w:fill="auto"/>
            <w:noWrap/>
            <w:vAlign w:val="center"/>
          </w:tcPr>
          <w:p w14:paraId="5EB63275" w14:textId="77777777" w:rsidR="0025680F" w:rsidRDefault="00D201ED">
            <w:pPr>
              <w:snapToGrid w:val="0"/>
              <w:jc w:val="center"/>
              <w:rPr>
                <w:bCs/>
                <w:sz w:val="15"/>
                <w:szCs w:val="15"/>
              </w:rPr>
            </w:pPr>
            <w:r>
              <w:rPr>
                <w:rFonts w:hint="eastAsia"/>
                <w:bCs/>
                <w:sz w:val="15"/>
                <w:szCs w:val="15"/>
              </w:rPr>
              <w:t xml:space="preserve">40.00 </w:t>
            </w:r>
          </w:p>
        </w:tc>
        <w:tc>
          <w:tcPr>
            <w:tcW w:w="771" w:type="dxa"/>
            <w:tcBorders>
              <w:top w:val="nil"/>
              <w:left w:val="nil"/>
              <w:right w:val="nil"/>
            </w:tcBorders>
            <w:shd w:val="clear" w:color="auto" w:fill="auto"/>
            <w:noWrap/>
            <w:vAlign w:val="center"/>
          </w:tcPr>
          <w:p w14:paraId="3A27161B" w14:textId="77777777" w:rsidR="0025680F" w:rsidRDefault="00D201ED">
            <w:pPr>
              <w:snapToGrid w:val="0"/>
              <w:jc w:val="center"/>
              <w:rPr>
                <w:bCs/>
                <w:sz w:val="15"/>
                <w:szCs w:val="15"/>
              </w:rPr>
            </w:pPr>
            <w:r>
              <w:rPr>
                <w:rFonts w:hint="eastAsia"/>
                <w:bCs/>
                <w:sz w:val="15"/>
                <w:szCs w:val="15"/>
              </w:rPr>
              <w:t xml:space="preserve">0.00 </w:t>
            </w:r>
          </w:p>
        </w:tc>
        <w:tc>
          <w:tcPr>
            <w:tcW w:w="891" w:type="dxa"/>
            <w:tcBorders>
              <w:top w:val="nil"/>
              <w:left w:val="nil"/>
              <w:right w:val="nil"/>
            </w:tcBorders>
            <w:shd w:val="clear" w:color="auto" w:fill="auto"/>
            <w:noWrap/>
            <w:vAlign w:val="center"/>
          </w:tcPr>
          <w:p w14:paraId="5F874E44" w14:textId="77777777" w:rsidR="0025680F" w:rsidRDefault="00D201ED">
            <w:pPr>
              <w:snapToGrid w:val="0"/>
              <w:jc w:val="center"/>
              <w:rPr>
                <w:bCs/>
                <w:sz w:val="15"/>
                <w:szCs w:val="15"/>
              </w:rPr>
            </w:pPr>
            <w:r>
              <w:rPr>
                <w:rFonts w:hint="eastAsia"/>
                <w:bCs/>
                <w:sz w:val="15"/>
                <w:szCs w:val="15"/>
              </w:rPr>
              <w:t xml:space="preserve">40.00 </w:t>
            </w:r>
          </w:p>
        </w:tc>
        <w:tc>
          <w:tcPr>
            <w:tcW w:w="771" w:type="dxa"/>
            <w:tcBorders>
              <w:top w:val="nil"/>
              <w:left w:val="nil"/>
              <w:right w:val="nil"/>
            </w:tcBorders>
            <w:shd w:val="clear" w:color="auto" w:fill="auto"/>
            <w:noWrap/>
            <w:vAlign w:val="center"/>
          </w:tcPr>
          <w:p w14:paraId="1F0877D3" w14:textId="77777777" w:rsidR="0025680F" w:rsidRDefault="00D201ED">
            <w:pPr>
              <w:snapToGrid w:val="0"/>
              <w:jc w:val="center"/>
              <w:rPr>
                <w:bCs/>
                <w:sz w:val="15"/>
                <w:szCs w:val="15"/>
              </w:rPr>
            </w:pPr>
            <w:r>
              <w:rPr>
                <w:rFonts w:hint="eastAsia"/>
                <w:bCs/>
                <w:sz w:val="15"/>
                <w:szCs w:val="15"/>
              </w:rPr>
              <w:t xml:space="preserve">40.00 </w:t>
            </w:r>
          </w:p>
        </w:tc>
        <w:tc>
          <w:tcPr>
            <w:tcW w:w="651" w:type="dxa"/>
            <w:tcBorders>
              <w:top w:val="nil"/>
              <w:left w:val="nil"/>
              <w:right w:val="nil"/>
            </w:tcBorders>
            <w:shd w:val="clear" w:color="auto" w:fill="auto"/>
            <w:noWrap/>
            <w:vAlign w:val="center"/>
          </w:tcPr>
          <w:p w14:paraId="17527F08" w14:textId="77777777" w:rsidR="0025680F" w:rsidRDefault="00D201ED">
            <w:pPr>
              <w:snapToGrid w:val="0"/>
              <w:jc w:val="center"/>
              <w:rPr>
                <w:bCs/>
                <w:sz w:val="15"/>
                <w:szCs w:val="15"/>
              </w:rPr>
            </w:pPr>
            <w:r>
              <w:rPr>
                <w:rFonts w:hint="eastAsia"/>
                <w:bCs/>
                <w:sz w:val="15"/>
                <w:szCs w:val="15"/>
              </w:rPr>
              <w:t xml:space="preserve">2.00 </w:t>
            </w:r>
          </w:p>
        </w:tc>
        <w:tc>
          <w:tcPr>
            <w:tcW w:w="651" w:type="dxa"/>
            <w:tcBorders>
              <w:top w:val="nil"/>
              <w:left w:val="nil"/>
              <w:right w:val="nil"/>
            </w:tcBorders>
            <w:shd w:val="clear" w:color="auto" w:fill="auto"/>
            <w:noWrap/>
            <w:vAlign w:val="center"/>
          </w:tcPr>
          <w:p w14:paraId="51249A07" w14:textId="77777777" w:rsidR="0025680F" w:rsidRDefault="00D201ED">
            <w:pPr>
              <w:snapToGrid w:val="0"/>
              <w:jc w:val="center"/>
              <w:rPr>
                <w:bCs/>
                <w:sz w:val="15"/>
                <w:szCs w:val="15"/>
              </w:rPr>
            </w:pPr>
            <w:r>
              <w:rPr>
                <w:rFonts w:hint="eastAsia"/>
                <w:bCs/>
                <w:sz w:val="15"/>
                <w:szCs w:val="15"/>
              </w:rPr>
              <w:t xml:space="preserve">0.30 </w:t>
            </w:r>
          </w:p>
        </w:tc>
        <w:tc>
          <w:tcPr>
            <w:tcW w:w="771" w:type="dxa"/>
            <w:tcBorders>
              <w:top w:val="nil"/>
              <w:left w:val="nil"/>
              <w:right w:val="nil"/>
            </w:tcBorders>
            <w:shd w:val="clear" w:color="auto" w:fill="auto"/>
            <w:noWrap/>
            <w:vAlign w:val="center"/>
          </w:tcPr>
          <w:p w14:paraId="4C291964" w14:textId="77777777" w:rsidR="0025680F" w:rsidRDefault="00D201ED">
            <w:pPr>
              <w:snapToGrid w:val="0"/>
              <w:jc w:val="center"/>
              <w:rPr>
                <w:bCs/>
                <w:sz w:val="15"/>
                <w:szCs w:val="15"/>
              </w:rPr>
            </w:pPr>
            <w:r>
              <w:rPr>
                <w:rFonts w:hint="eastAsia"/>
                <w:bCs/>
                <w:sz w:val="15"/>
                <w:szCs w:val="15"/>
              </w:rPr>
              <w:t xml:space="preserve">21.90 </w:t>
            </w:r>
          </w:p>
        </w:tc>
      </w:tr>
    </w:tbl>
    <w:p w14:paraId="64031B03" w14:textId="77777777" w:rsidR="0025680F" w:rsidRDefault="00D201ED">
      <w:pPr>
        <w:rPr>
          <w:sz w:val="15"/>
          <w:szCs w:val="15"/>
        </w:rPr>
      </w:pPr>
      <w:r>
        <w:rPr>
          <w:rFonts w:hint="eastAsia"/>
          <w:sz w:val="15"/>
          <w:szCs w:val="15"/>
        </w:rPr>
        <w:t>资料来源：北京交通大学交通舆情研究中心危机事件库</w:t>
      </w:r>
    </w:p>
    <w:p w14:paraId="008F7C11" w14:textId="77777777" w:rsidR="0025680F" w:rsidRDefault="00D201ED">
      <w:r>
        <w:rPr>
          <w:rFonts w:hint="eastAsia"/>
          <w:noProof/>
        </w:rPr>
        <w:drawing>
          <wp:inline distT="0" distB="0" distL="114300" distR="114300">
            <wp:extent cx="5269865" cy="3461385"/>
            <wp:effectExtent l="0" t="0" r="10795" b="3175"/>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9"/>
                    <a:stretch>
                      <a:fillRect/>
                    </a:stretch>
                  </pic:blipFill>
                  <pic:spPr>
                    <a:xfrm>
                      <a:off x="0" y="0"/>
                      <a:ext cx="5269865" cy="3461385"/>
                    </a:xfrm>
                    <a:prstGeom prst="rect">
                      <a:avLst/>
                    </a:prstGeom>
                    <a:noFill/>
                    <a:ln>
                      <a:noFill/>
                    </a:ln>
                  </pic:spPr>
                </pic:pic>
              </a:graphicData>
            </a:graphic>
          </wp:inline>
        </w:drawing>
      </w:r>
    </w:p>
    <w:p w14:paraId="617A3D3B" w14:textId="77777777" w:rsidR="0025680F" w:rsidRDefault="00D201ED">
      <w:pPr>
        <w:pStyle w:val="a3"/>
        <w:ind w:firstLineChars="200" w:firstLine="480"/>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t xml:space="preserve">3 </w:t>
      </w:r>
      <w:r>
        <w:rPr>
          <w:rFonts w:ascii="方正仿宋_GB2312" w:eastAsia="方正仿宋_GB2312" w:hAnsi="方正仿宋_GB2312" w:hint="eastAsia"/>
        </w:rPr>
        <w:t>机场危机应对能力雷达图</w:t>
      </w:r>
    </w:p>
    <w:p w14:paraId="1FA94723" w14:textId="77777777" w:rsidR="0025680F" w:rsidRDefault="00D201ED">
      <w:r>
        <w:rPr>
          <w:rFonts w:hint="eastAsia"/>
          <w:sz w:val="15"/>
          <w:szCs w:val="15"/>
        </w:rPr>
        <w:t>资料来源：北京交通大学交通舆情研究中心危机事件库</w:t>
      </w:r>
    </w:p>
    <w:p w14:paraId="79A03B6D" w14:textId="77777777" w:rsidR="0025680F" w:rsidRDefault="00D201ED">
      <w:pPr>
        <w:ind w:firstLineChars="200" w:firstLine="480"/>
      </w:pPr>
      <w:r>
        <w:rPr>
          <w:rFonts w:hint="eastAsia"/>
        </w:rPr>
        <w:t>从各机场具体表现来看：上海机场集团综合能力领先，尤其在事实澄清和发声时间上表现优异，显示其响应迅速、信息发布清晰。从具体事件来看，在</w:t>
      </w:r>
      <w:r>
        <w:rPr>
          <w:rFonts w:hint="eastAsia"/>
        </w:rPr>
        <w:t>2022</w:t>
      </w:r>
      <w:r>
        <w:rPr>
          <w:rFonts w:hint="eastAsia"/>
        </w:rPr>
        <w:t>年“上海浦东机场取消率</w:t>
      </w:r>
      <w:r>
        <w:rPr>
          <w:rFonts w:hint="eastAsia"/>
        </w:rPr>
        <w:t>72%</w:t>
      </w:r>
      <w:r>
        <w:rPr>
          <w:rFonts w:hint="eastAsia"/>
        </w:rPr>
        <w:t>”事件中，集团在事发当日（</w:t>
      </w:r>
      <w:r>
        <w:rPr>
          <w:rFonts w:hint="eastAsia"/>
        </w:rPr>
        <w:t>7</w:t>
      </w:r>
      <w:r>
        <w:rPr>
          <w:rFonts w:hint="eastAsia"/>
        </w:rPr>
        <w:t>月</w:t>
      </w:r>
      <w:r>
        <w:rPr>
          <w:rFonts w:hint="eastAsia"/>
        </w:rPr>
        <w:t>13</w:t>
      </w:r>
      <w:r>
        <w:rPr>
          <w:rFonts w:hint="eastAsia"/>
        </w:rPr>
        <w:t>日）</w:t>
      </w:r>
      <w:r>
        <w:rPr>
          <w:rFonts w:hint="eastAsia"/>
        </w:rPr>
        <w:t>9:30</w:t>
      </w:r>
      <w:r>
        <w:rPr>
          <w:rFonts w:hint="eastAsia"/>
        </w:rPr>
        <w:t>事件发生，</w:t>
      </w:r>
      <w:r>
        <w:rPr>
          <w:rFonts w:hint="eastAsia"/>
        </w:rPr>
        <w:t>14:28</w:t>
      </w:r>
      <w:r>
        <w:rPr>
          <w:rFonts w:hint="eastAsia"/>
        </w:rPr>
        <w:t>即通过企业级账号联合</w:t>
      </w:r>
      <w:r>
        <w:rPr>
          <w:rFonts w:hint="eastAsia"/>
        </w:rPr>
        <w:t>@</w:t>
      </w:r>
      <w:r>
        <w:rPr>
          <w:rFonts w:hint="eastAsia"/>
        </w:rPr>
        <w:t>航空物语等权威航空大</w:t>
      </w:r>
      <w:r>
        <w:rPr>
          <w:rFonts w:hint="eastAsia"/>
        </w:rPr>
        <w:t>V</w:t>
      </w:r>
      <w:r>
        <w:rPr>
          <w:rFonts w:hint="eastAsia"/>
        </w:rPr>
        <w:t>发布回应，明确澄清“取消所有航班为不实消息”，并理性解释政策目的，有效遏制了谣言传播。在</w:t>
      </w:r>
      <w:r>
        <w:rPr>
          <w:rFonts w:hint="eastAsia"/>
        </w:rPr>
        <w:t>2024</w:t>
      </w:r>
      <w:r>
        <w:rPr>
          <w:rFonts w:hint="eastAsia"/>
        </w:rPr>
        <w:t>年“浦东机场暂停网约车揽客”事件中，集团在政策实施当天即通</w:t>
      </w:r>
      <w:r>
        <w:rPr>
          <w:rFonts w:hint="eastAsia"/>
        </w:rPr>
        <w:lastRenderedPageBreak/>
        <w:t>过“候机楼一姐”等垂直领域</w:t>
      </w:r>
      <w:r>
        <w:rPr>
          <w:rFonts w:hint="eastAsia"/>
        </w:rPr>
        <w:t>KOL</w:t>
      </w:r>
      <w:r>
        <w:rPr>
          <w:rFonts w:hint="eastAsia"/>
        </w:rPr>
        <w:t>发声，准确说明“仅禁止网约车揽客（不禁止送客）”</w:t>
      </w:r>
      <w:r>
        <w:rPr>
          <w:rFonts w:hint="eastAsia"/>
        </w:rPr>
        <w:t>的政策细节，展现了出色的信息透明度。然而，该集团在情感价值层面存在明显短板。在多起事件中，如“旅客因行李超</w:t>
      </w:r>
      <w:r>
        <w:rPr>
          <w:rFonts w:hint="eastAsia"/>
        </w:rPr>
        <w:t>2</w:t>
      </w:r>
      <w:r>
        <w:rPr>
          <w:rFonts w:hint="eastAsia"/>
        </w:rPr>
        <w:t>厘米被收</w:t>
      </w:r>
      <w:r>
        <w:rPr>
          <w:rFonts w:hint="eastAsia"/>
        </w:rPr>
        <w:t>700</w:t>
      </w:r>
      <w:r>
        <w:rPr>
          <w:rFonts w:hint="eastAsia"/>
        </w:rPr>
        <w:t>元现场争执”和“虹桥机场充电宝自燃”等涉及旅客权益与安全的事件，回应均停留在“客观陈述”和“理性解释”层面，缺乏道歉担责和情感共鸣的表达。这种“重事实、轻情感”的沟通模式，虽然保证了信息的准确性，但难以建立情感连接，在一定程度上影响了公众的情感认同度。</w:t>
      </w:r>
    </w:p>
    <w:p w14:paraId="12F75C00" w14:textId="77777777" w:rsidR="0025680F" w:rsidRDefault="00D201ED">
      <w:pPr>
        <w:ind w:firstLineChars="200" w:firstLine="480"/>
      </w:pPr>
      <w:r>
        <w:rPr>
          <w:rFonts w:hint="eastAsia"/>
        </w:rPr>
        <w:t>广州白云机场虽在道歉担责上尚可，但次生舆情控制上表现一般。从具体事件来看，在</w:t>
      </w:r>
      <w:r>
        <w:rPr>
          <w:rFonts w:hint="eastAsia"/>
        </w:rPr>
        <w:t>2023</w:t>
      </w:r>
      <w:r>
        <w:rPr>
          <w:rFonts w:hint="eastAsia"/>
        </w:rPr>
        <w:t>年</w:t>
      </w:r>
      <w:r>
        <w:rPr>
          <w:rFonts w:hint="eastAsia"/>
        </w:rPr>
        <w:t>1</w:t>
      </w:r>
      <w:r>
        <w:rPr>
          <w:rFonts w:hint="eastAsia"/>
        </w:rPr>
        <w:t>月“肥胖女性踩缝纫机雕塑争议”事件中，机场虽在事</w:t>
      </w:r>
      <w:r>
        <w:rPr>
          <w:rFonts w:hint="eastAsia"/>
        </w:rPr>
        <w:t>发后</w:t>
      </w:r>
      <w:r>
        <w:rPr>
          <w:rFonts w:hint="eastAsia"/>
        </w:rPr>
        <w:t>49</w:t>
      </w:r>
      <w:r>
        <w:rPr>
          <w:rFonts w:hint="eastAsia"/>
        </w:rPr>
        <w:t>小时内做出回应并表达歉意，承认“该雕塑有损女性形象”的问题，但由于回应时机滞后且内容不够周全，未能有效平息舆论，反而引发第二轮关于“性别歧视”的讨论，被</w:t>
      </w:r>
      <w:r>
        <w:rPr>
          <w:rFonts w:hint="eastAsia"/>
        </w:rPr>
        <w:t xml:space="preserve"> Vista</w:t>
      </w:r>
      <w:r>
        <w:rPr>
          <w:rFonts w:hint="eastAsia"/>
        </w:rPr>
        <w:t>看天下、经视直播等媒体持续报道，形成明显的次生舆情。</w:t>
      </w:r>
    </w:p>
    <w:p w14:paraId="17CD03DB" w14:textId="77777777" w:rsidR="0025680F" w:rsidRDefault="00D201ED">
      <w:pPr>
        <w:ind w:firstLineChars="200" w:firstLine="480"/>
      </w:pPr>
      <w:r>
        <w:rPr>
          <w:rFonts w:hint="eastAsia"/>
        </w:rPr>
        <w:t>深圳宝安机场公众态度严重拉低总分，尽管其在事实澄清和次生舆情上表现尚可，反映出沟通策略缺乏共情。从具体事件来看，在</w:t>
      </w:r>
      <w:r>
        <w:rPr>
          <w:rFonts w:hint="eastAsia"/>
        </w:rPr>
        <w:t>2023</w:t>
      </w:r>
      <w:r>
        <w:rPr>
          <w:rFonts w:hint="eastAsia"/>
        </w:rPr>
        <w:t>年</w:t>
      </w:r>
      <w:r>
        <w:rPr>
          <w:rFonts w:hint="eastAsia"/>
        </w:rPr>
        <w:t>10</w:t>
      </w:r>
      <w:r>
        <w:rPr>
          <w:rFonts w:hint="eastAsia"/>
        </w:rPr>
        <w:t>月“不明升空物致航班限制”事件中，机场虽在事发后及时澄清“无爆炸物等极端情况”的事实，但仅简单表示“对旅客不便深表歉意”，未深入体察旅客因突发限制产生的焦虑与</w:t>
      </w:r>
      <w:r>
        <w:rPr>
          <w:rFonts w:hint="eastAsia"/>
        </w:rPr>
        <w:t>不安，回应缺乏情感温度。在</w:t>
      </w:r>
      <w:r>
        <w:rPr>
          <w:rFonts w:hint="eastAsia"/>
        </w:rPr>
        <w:t>2024</w:t>
      </w:r>
      <w:r>
        <w:rPr>
          <w:rFonts w:hint="eastAsia"/>
        </w:rPr>
        <w:t>年</w:t>
      </w:r>
      <w:r>
        <w:rPr>
          <w:rFonts w:hint="eastAsia"/>
        </w:rPr>
        <w:t>4</w:t>
      </w:r>
      <w:r>
        <w:rPr>
          <w:rFonts w:hint="eastAsia"/>
        </w:rPr>
        <w:t>月“卫星厅保洁员坠落”事件中，通报聚焦于“事件调查中”的程式化表述，未对员工生命安全表达关切，也未展现企业对员工的人文关怀。这种缺乏共情的沟通方式，导致公众虽然认可事实准确性，却在情感层面难以产生认同，最终造成公众态度评分低下。</w:t>
      </w:r>
    </w:p>
    <w:p w14:paraId="0C456335" w14:textId="77777777" w:rsidR="0025680F" w:rsidRDefault="00D201ED">
      <w:pPr>
        <w:ind w:firstLineChars="200" w:firstLine="480"/>
      </w:pPr>
      <w:r>
        <w:rPr>
          <w:rFonts w:hint="eastAsia"/>
        </w:rPr>
        <w:t>厦门机场道歉担责得分低，显示其回避责任问题，尽管公众态度较高，但责任缺失直接影响其公信力。这一特点在</w:t>
      </w:r>
      <w:r>
        <w:rPr>
          <w:rFonts w:hint="eastAsia"/>
        </w:rPr>
        <w:t>2023</w:t>
      </w:r>
      <w:r>
        <w:rPr>
          <w:rFonts w:hint="eastAsia"/>
        </w:rPr>
        <w:t>年</w:t>
      </w:r>
      <w:r>
        <w:rPr>
          <w:rFonts w:hint="eastAsia"/>
        </w:rPr>
        <w:t>5</w:t>
      </w:r>
      <w:r>
        <w:rPr>
          <w:rFonts w:hint="eastAsia"/>
        </w:rPr>
        <w:t>月“厦门机场摆渡车撞入</w:t>
      </w:r>
      <w:r>
        <w:rPr>
          <w:rFonts w:hint="eastAsia"/>
        </w:rPr>
        <w:t>T3</w:t>
      </w:r>
      <w:r>
        <w:rPr>
          <w:rFonts w:hint="eastAsia"/>
        </w:rPr>
        <w:t>航站楼玻璃幕墙”事件中得到充分体现。在该事件中，机场虽然在事发次日通过</w:t>
      </w:r>
      <w:r>
        <w:rPr>
          <w:rFonts w:hint="eastAsia"/>
        </w:rPr>
        <w:t>20-30</w:t>
      </w:r>
      <w:r>
        <w:rPr>
          <w:rFonts w:hint="eastAsia"/>
        </w:rPr>
        <w:t>家企业级账号发声，及时澄清</w:t>
      </w:r>
      <w:r>
        <w:rPr>
          <w:rFonts w:hint="eastAsia"/>
        </w:rPr>
        <w:t>“摆渡车移动过程中失控，无工作人员受伤”的事实，并在</w:t>
      </w:r>
      <w:r>
        <w:rPr>
          <w:rFonts w:hint="eastAsia"/>
        </w:rPr>
        <w:t>5</w:t>
      </w:r>
      <w:r>
        <w:rPr>
          <w:rFonts w:hint="eastAsia"/>
        </w:rPr>
        <w:t>小时内有效控制了舆情传播，未产生次生危机。然而，通报内容完全回避责任认定，仅作客观陈述，未对事件表达任何歉意或承担责任。这种“只澄清不担责”的回应方式，虽然短期内凭借快速响应获得了一定的公众理解，但由于缺乏诚恳的道歉和整改承诺，难以真正赢得公众信任，从长远看损害了企业的公信力。</w:t>
      </w:r>
    </w:p>
    <w:p w14:paraId="14E879DE" w14:textId="77777777" w:rsidR="0025680F" w:rsidRDefault="00D201ED">
      <w:pPr>
        <w:ind w:firstLineChars="200" w:firstLine="480"/>
      </w:pPr>
      <w:r>
        <w:rPr>
          <w:rFonts w:hint="eastAsia"/>
        </w:rPr>
        <w:t>杭州萧山机场多项指标全面落后，发声时间、发布主体和情感共鸣均表现较弱，显示其危机管理体系存在系统性不足。在</w:t>
      </w:r>
      <w:r>
        <w:rPr>
          <w:rFonts w:hint="eastAsia"/>
        </w:rPr>
        <w:t>2023</w:t>
      </w:r>
      <w:r>
        <w:rPr>
          <w:rFonts w:hint="eastAsia"/>
        </w:rPr>
        <w:t>年</w:t>
      </w:r>
      <w:r>
        <w:rPr>
          <w:rFonts w:hint="eastAsia"/>
        </w:rPr>
        <w:t>4</w:t>
      </w:r>
      <w:r>
        <w:rPr>
          <w:rFonts w:hint="eastAsia"/>
        </w:rPr>
        <w:t>月“</w:t>
      </w:r>
      <w:r>
        <w:rPr>
          <w:rFonts w:hint="eastAsia"/>
        </w:rPr>
        <w:t>T3</w:t>
      </w:r>
      <w:r>
        <w:rPr>
          <w:rFonts w:hint="eastAsia"/>
        </w:rPr>
        <w:t>航站楼冒烟”事件中，机场在事发后仅说明消防队及时到达</w:t>
      </w:r>
      <w:r>
        <w:rPr>
          <w:rFonts w:hint="eastAsia"/>
        </w:rPr>
        <w:t>，无人员伤亡，但冒烟原因官方未公布。更严重的是在</w:t>
      </w:r>
      <w:r>
        <w:rPr>
          <w:rFonts w:hint="eastAsia"/>
        </w:rPr>
        <w:t>2024</w:t>
      </w:r>
      <w:r>
        <w:rPr>
          <w:rFonts w:hint="eastAsia"/>
        </w:rPr>
        <w:t>年</w:t>
      </w:r>
      <w:r>
        <w:rPr>
          <w:rFonts w:hint="eastAsia"/>
        </w:rPr>
        <w:t>10</w:t>
      </w:r>
      <w:r>
        <w:rPr>
          <w:rFonts w:hint="eastAsia"/>
        </w:rPr>
        <w:t>月“</w:t>
      </w:r>
      <w:r>
        <w:rPr>
          <w:rFonts w:hint="eastAsia"/>
        </w:rPr>
        <w:t>CA4578</w:t>
      </w:r>
      <w:r>
        <w:rPr>
          <w:rFonts w:hint="eastAsia"/>
        </w:rPr>
        <w:t>航班机械故障返航”事件中，机场既未明确责任主体，也未向乘客致歉，暴露出其应急响应机制存在明显漏洞。</w:t>
      </w:r>
    </w:p>
    <w:p w14:paraId="27EA9591" w14:textId="77777777" w:rsidR="0025680F" w:rsidRDefault="00D201ED">
      <w:pPr>
        <w:ind w:firstLineChars="200" w:firstLine="480"/>
      </w:pPr>
      <w:r>
        <w:rPr>
          <w:rFonts w:hint="eastAsia"/>
        </w:rPr>
        <w:t>总体而言，我国机场行业的危机应对能力呈现出明显的分层特征和发展不均</w:t>
      </w:r>
      <w:r>
        <w:rPr>
          <w:rFonts w:hint="eastAsia"/>
        </w:rPr>
        <w:lastRenderedPageBreak/>
        <w:t>衡现象。头部机场代表——上海机场集团，凭借其快速的响应机制、清晰的事实澄清能力和高效的信息发布流程，在基础操作层面展现出显著的领先优势。然而，即使是表现最佳的机场，在情感沟通、责任承担和公众信任建设等软性沟通维度仍存在明显短板，反映出当前机场危机管理普遍“重事实、轻价</w:t>
      </w:r>
      <w:r>
        <w:rPr>
          <w:rFonts w:hint="eastAsia"/>
        </w:rPr>
        <w:t>值”的倾向。多数机场在危机回应中仍停留在“事件说明”和“舆情控制”的初级阶段，缺乏对公众情绪的有效疏导和深层关怀。广州白云机场的次生舆情问题、深圳宝安机场的低公众认同度、厦门机场的责任回避倾向，以及杭州萧山机场的系统性薄弱，均表明机场行业在价值沟通和信任修复方面仍有较大提升空间。尤其值得关注的是，部分机场满足于短期舆情平息，未能将危机回应与长效品牌建设、公众关系维护有机结合，这种“应对式”而非“治理式”的沟通模式，难以适应当前复杂多变的舆论环境和公众日益增长的期待。</w:t>
      </w:r>
    </w:p>
    <w:p w14:paraId="2C749893" w14:textId="77777777" w:rsidR="0025680F" w:rsidRDefault="00D201ED">
      <w:pPr>
        <w:ind w:firstLineChars="200" w:firstLine="480"/>
      </w:pPr>
      <w:r>
        <w:rPr>
          <w:rFonts w:hint="eastAsia"/>
        </w:rPr>
        <w:t>未来，机场单位需在保持响应速度、信息准确</w:t>
      </w:r>
      <w:r>
        <w:rPr>
          <w:rFonts w:hint="eastAsia"/>
        </w:rPr>
        <w:t>度等基础能力的同时，重点加强情感共鸣、责任认定和闭环管理能力建设。不仅要及时发声，更要善于发声；不仅要澄清事实，更要传递关怀；不仅要处置事件，更要修复信任。通过构建“事实—价值”并重、“响应—治理”协同的危机沟通体系，我国机场才能实现从舆情应对到风险预防、从危机处置到信任管理的根本转变，全面提升应急管理体系和能力现代化水平。</w:t>
      </w:r>
    </w:p>
    <w:p w14:paraId="6DA76DB5" w14:textId="77777777" w:rsidR="0025680F" w:rsidRDefault="00D201ED">
      <w:pPr>
        <w:pStyle w:val="3"/>
        <w:numPr>
          <w:ilvl w:val="0"/>
          <w:numId w:val="0"/>
        </w:numPr>
      </w:pPr>
      <w:r>
        <w:rPr>
          <w:rFonts w:hint="eastAsia"/>
        </w:rPr>
        <w:t>七、</w:t>
      </w:r>
      <w:r>
        <w:rPr>
          <w:rFonts w:hint="eastAsia"/>
        </w:rPr>
        <w:t>铁路与航空交通系统危机应对能力评价</w:t>
      </w:r>
    </w:p>
    <w:p w14:paraId="46534B4F" w14:textId="77777777" w:rsidR="0025680F" w:rsidRDefault="00D201ED">
      <w:pPr>
        <w:ind w:firstLineChars="200" w:firstLine="480"/>
      </w:pPr>
      <w:r>
        <w:rPr>
          <w:rFonts w:hint="eastAsia"/>
        </w:rPr>
        <w:t>通过对五个一级指标进行平均分计算后发现，以铁路和航空为代表的交通系统在危机事件中的应对能力呈现出显著的结构性差异，各维度发展不均衡现象突出。</w:t>
      </w:r>
    </w:p>
    <w:p w14:paraId="1F72BC97" w14:textId="77777777" w:rsidR="0025680F" w:rsidRDefault="00D201ED">
      <w:pPr>
        <w:jc w:val="center"/>
      </w:pPr>
      <w:r>
        <w:rPr>
          <w:rFonts w:hint="eastAsia"/>
          <w:noProof/>
        </w:rPr>
        <w:drawing>
          <wp:inline distT="0" distB="0" distL="114300" distR="114300">
            <wp:extent cx="2616200" cy="2356485"/>
            <wp:effectExtent l="0" t="0" r="10160" b="4445"/>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10"/>
                    <a:stretch>
                      <a:fillRect/>
                    </a:stretch>
                  </pic:blipFill>
                  <pic:spPr>
                    <a:xfrm>
                      <a:off x="0" y="0"/>
                      <a:ext cx="2616200" cy="2356485"/>
                    </a:xfrm>
                    <a:prstGeom prst="rect">
                      <a:avLst/>
                    </a:prstGeom>
                    <a:noFill/>
                    <a:ln>
                      <a:noFill/>
                    </a:ln>
                  </pic:spPr>
                </pic:pic>
              </a:graphicData>
            </a:graphic>
          </wp:inline>
        </w:drawing>
      </w:r>
    </w:p>
    <w:p w14:paraId="64539ADE" w14:textId="77777777" w:rsidR="0025680F" w:rsidRDefault="00D201ED">
      <w:pPr>
        <w:pStyle w:val="a3"/>
        <w:jc w:val="center"/>
        <w:rPr>
          <w:rFonts w:ascii="方正仿宋_GB2312" w:eastAsia="方正仿宋_GB2312" w:hAnsi="方正仿宋_GB2312"/>
        </w:rPr>
      </w:pPr>
      <w:r>
        <w:rPr>
          <w:rFonts w:ascii="方正仿宋_GB2312" w:eastAsia="方正仿宋_GB2312" w:hAnsi="方正仿宋_GB2312" w:hint="eastAsia"/>
        </w:rPr>
        <w:t>图</w:t>
      </w:r>
      <w:r>
        <w:rPr>
          <w:rFonts w:ascii="方正仿宋_GB2312" w:eastAsia="方正仿宋_GB2312" w:hAnsi="方正仿宋_GB2312" w:hint="eastAsia"/>
        </w:rPr>
        <w:t xml:space="preserve">4 </w:t>
      </w:r>
      <w:r>
        <w:rPr>
          <w:rFonts w:ascii="方正仿宋_GB2312" w:eastAsia="方正仿宋_GB2312" w:hAnsi="方正仿宋_GB2312" w:hint="eastAsia"/>
        </w:rPr>
        <w:t>交通系统应对能力雷达图</w:t>
      </w:r>
    </w:p>
    <w:p w14:paraId="315DD371" w14:textId="77777777" w:rsidR="0025680F" w:rsidRDefault="00D201ED">
      <w:r>
        <w:rPr>
          <w:rFonts w:hint="eastAsia"/>
          <w:sz w:val="15"/>
          <w:szCs w:val="15"/>
        </w:rPr>
        <w:t>资料来源：北京交通大学交通舆情研究中心危机事件库</w:t>
      </w:r>
    </w:p>
    <w:p w14:paraId="181B7331" w14:textId="77777777" w:rsidR="0025680F" w:rsidRDefault="00D201ED">
      <w:pPr>
        <w:ind w:firstLineChars="200" w:firstLine="480"/>
      </w:pPr>
      <w:r>
        <w:rPr>
          <w:rFonts w:hint="eastAsia"/>
        </w:rPr>
        <w:t>从五个核心指标来看，响应速度相对较快，说明交通系统能够快速启动应急</w:t>
      </w:r>
      <w:r>
        <w:rPr>
          <w:rFonts w:hint="eastAsia"/>
        </w:rPr>
        <w:lastRenderedPageBreak/>
        <w:t>响应机制，在第一时间对外发声，及时填补信息真空，有效避免了舆情在初期的迅速发酵和蔓延。这种快速反应能力体现了交通系统在应急机制建设方面取得的实质性进展。然而，快速回应并不等于有效回应，回应的信息往往流于形式，缺乏深度，导致后续影响仍未能得到根本性缓解。</w:t>
      </w:r>
    </w:p>
    <w:p w14:paraId="0CC259E6" w14:textId="77777777" w:rsidR="0025680F" w:rsidRDefault="00D201ED">
      <w:pPr>
        <w:ind w:firstLineChars="200" w:firstLine="480"/>
      </w:pPr>
      <w:r>
        <w:rPr>
          <w:rFonts w:hint="eastAsia"/>
        </w:rPr>
        <w:t>发声主体和发布渠道两个维度得分均处于</w:t>
      </w:r>
      <w:r>
        <w:rPr>
          <w:rFonts w:hint="eastAsia"/>
        </w:rPr>
        <w:t>20</w:t>
      </w:r>
      <w:r>
        <w:rPr>
          <w:rFonts w:hint="eastAsia"/>
        </w:rPr>
        <w:t>～</w:t>
      </w:r>
      <w:r>
        <w:rPr>
          <w:rFonts w:hint="eastAsia"/>
        </w:rPr>
        <w:t>30</w:t>
      </w:r>
      <w:r>
        <w:rPr>
          <w:rFonts w:hint="eastAsia"/>
        </w:rPr>
        <w:t>分的较低水平，反映出危机信息发布存在权威性不足和传播力有限的双重</w:t>
      </w:r>
      <w:r>
        <w:rPr>
          <w:rFonts w:hint="eastAsia"/>
        </w:rPr>
        <w:t>困境。具体表现为：回应多由基层单位或业务部门作出，缺乏高层级、高权威的发声主体，降低了公众对信息的信任度和认可度；信息发布仍过度依赖传统官方渠道，新媒体矩阵建设不完善，多元传播格局尚未形成，导致信息触达范围有限，特别是在年轻群体中的传播效果不佳。</w:t>
      </w:r>
    </w:p>
    <w:p w14:paraId="11A68467" w14:textId="77777777" w:rsidR="0025680F" w:rsidRDefault="00D201ED">
      <w:pPr>
        <w:ind w:firstLineChars="200" w:firstLine="480"/>
      </w:pPr>
      <w:r>
        <w:rPr>
          <w:rFonts w:hint="eastAsia"/>
        </w:rPr>
        <w:t>更为突出的问题体现在应对策略和应对效果。其得分偏低反映出当前危机管理中普遍存在“重速度、轻策略”的现象，很多回应仅停留在简要通报、被动解释甚至“甩锅”的层面，缺乏对事件原因的深入剖析和对公众关切的精准回应。同时，后续的改进措施、责任追究与制度优化也缺乏落实，导致回应缺乏延续性与说服力。正因如此，实际的“应对效果”十分有限，往往难以平息公众情绪，甚至在部分情况下引发二次舆情，形成负面循环。</w:t>
      </w:r>
    </w:p>
    <w:p w14:paraId="7F381DC4" w14:textId="77777777" w:rsidR="0025680F" w:rsidRDefault="00D201ED">
      <w:pPr>
        <w:ind w:firstLineChars="200" w:firstLine="480"/>
      </w:pPr>
      <w:r>
        <w:rPr>
          <w:rFonts w:hint="eastAsia"/>
        </w:rPr>
        <w:t>整体来看，交通系统在危机应对中的主要特征可以概括为“快速发声但权威不足，信息传递但渠道单一，制定措施但执行不力，回应有声</w:t>
      </w:r>
      <w:r>
        <w:rPr>
          <w:rFonts w:hint="eastAsia"/>
        </w:rPr>
        <w:t>但效果有限”。究其根本，这种各维度发展不均衡的状况反映出当前交通系统危机管理仍处于“被动应对”而非“主动治理”的阶段。虽然建立了快速反应机制，但在权威发声、多渠道传播、精准策略和长效治理等方面仍有较大提升空间。要提升危机应对的整体效能，就需要补齐这些短板，实现从单纯追求响应速度向全面提升应对质量的转变。</w:t>
      </w:r>
    </w:p>
    <w:p w14:paraId="041703C7" w14:textId="77777777" w:rsidR="0025680F" w:rsidRDefault="00D201ED">
      <w:pPr>
        <w:pStyle w:val="3"/>
        <w:numPr>
          <w:ilvl w:val="0"/>
          <w:numId w:val="0"/>
        </w:numPr>
      </w:pPr>
      <w:r>
        <w:rPr>
          <w:rFonts w:hint="eastAsia"/>
        </w:rPr>
        <w:t>八、</w:t>
      </w:r>
      <w:r>
        <w:rPr>
          <w:rFonts w:hint="eastAsia"/>
        </w:rPr>
        <w:t>结论与建议</w:t>
      </w:r>
    </w:p>
    <w:p w14:paraId="274BCD19" w14:textId="77777777" w:rsidR="0025680F" w:rsidRDefault="00D201ED">
      <w:pPr>
        <w:ind w:firstLineChars="200" w:firstLine="480"/>
      </w:pPr>
      <w:r>
        <w:rPr>
          <w:rFonts w:hint="eastAsia"/>
        </w:rPr>
        <w:t>综合分析我国交通系统在危机事件中的应对情况可以发现，整体上已经形成较为成熟的快速反应机制，能够在舆情爆发的早期阶段及时发声，有效避免了因信息真空导致的谣言传播和舆论失控。这说明交通部门在危机</w:t>
      </w:r>
      <w:r>
        <w:rPr>
          <w:rFonts w:hint="eastAsia"/>
        </w:rPr>
        <w:t>处置的基础操作方面表现突出，特别是在响应速度和事实澄清环节展现出明显的专业化优势。然而，深入分析表明，整体表现呈现出“快而不强”的显著特征，即在保持及时性的同时，信息发布的权威性和策略深度仍显不足。具体而言，在发声主体选择、发布渠道建设和应对策略制定三个关键维度上，普遍存在“渠道偏单一、主体不够权威、回应缺乏温度”等结构性问题，导致舆情虽然得以及时回应，但公众情绪并未得到有效疏导，最终影响了危机应对的实际效果。</w:t>
      </w:r>
    </w:p>
    <w:p w14:paraId="0D72BDAA" w14:textId="77777777" w:rsidR="0025680F" w:rsidRDefault="00D201ED">
      <w:pPr>
        <w:ind w:firstLineChars="200" w:firstLine="480"/>
      </w:pPr>
      <w:r>
        <w:rPr>
          <w:rFonts w:hint="eastAsia"/>
        </w:rPr>
        <w:t>从更深层次的应对逻辑来看，交通系统在危机处理中仍然偏重于事实说明和程序性交代，而在责任认定与情感</w:t>
      </w:r>
      <w:r>
        <w:rPr>
          <w:rFonts w:hint="eastAsia"/>
        </w:rPr>
        <w:t>关怀方面存在明显短板。大量案例分析表明，</w:t>
      </w:r>
      <w:r>
        <w:rPr>
          <w:rFonts w:hint="eastAsia"/>
        </w:rPr>
        <w:lastRenderedPageBreak/>
        <w:t>官方回应多停留在客观通报与理性解释层面，往往回避公众真正关切的责任归属与实质性补救措施。这种“重澄清、轻共情”的沟通模式，虽然在短期内能够控制舆论走向，但由于缺乏情感共鸣和责任担当，难以真正赢得公众的理解与认同，这也直接导致次生舆情时有发生。总体而言，我国交通系统的危机管理已建立起基本框架，但要实现从“被动回应”到“主动化解”的根本性转变，还需要在价值沟通和闭环治理两个维度上持续深化。</w:t>
      </w:r>
    </w:p>
    <w:p w14:paraId="09D60D4A" w14:textId="77777777" w:rsidR="0025680F" w:rsidRDefault="00D201ED">
      <w:pPr>
        <w:ind w:firstLineChars="200" w:firstLine="480"/>
      </w:pPr>
      <w:r>
        <w:rPr>
          <w:rFonts w:hint="eastAsia"/>
        </w:rPr>
        <w:t>具体到改进路径，建议交通系统在未来的危机应对中进一步强化权威发声机制，推动核心管理</w:t>
      </w:r>
      <w:r>
        <w:rPr>
          <w:rFonts w:hint="eastAsia"/>
        </w:rPr>
        <w:t>部门或高层领导在第一时间出面回应，切实提升公信力和说服力。同时，应当积极拓展传播渠道矩阵，构建传统媒体与新媒体平台协同发力的多层次舆论场，实现危机信息的多维度、广覆盖传播。在回应内容层面，需要实现从单一事实澄清向“事实－责任－补救－关怀”全链条回应的战略转型，不仅要准确说明事件原因，更要展现出明确的责任担当和深切的人文关怀，从而有效缓解公众情绪、修复受损信任。最后，还需完善舆情闭环管理机制，通过持续公开后续整改进展和落实成效，避免因“回应即终结”的处理方式引发公众的二次质疑。通过这些系统性改进，我国交通系统</w:t>
      </w:r>
      <w:r>
        <w:rPr>
          <w:rFonts w:hint="eastAsia"/>
        </w:rPr>
        <w:t>有望实现从快速应对向精准治理的全面转型，切实提升危机处置的整体效能和社会信任度。</w:t>
      </w:r>
    </w:p>
    <w:p w14:paraId="333F99C2" w14:textId="77777777" w:rsidR="0025680F" w:rsidRDefault="0025680F"/>
    <w:sectPr w:rsidR="002568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4EED0E" w14:textId="77777777" w:rsidR="00D201ED" w:rsidRDefault="00D201ED">
      <w:pPr>
        <w:spacing w:line="240" w:lineRule="auto"/>
      </w:pPr>
      <w:r>
        <w:separator/>
      </w:r>
    </w:p>
  </w:endnote>
  <w:endnote w:type="continuationSeparator" w:id="0">
    <w:p w14:paraId="4FFF0C4A" w14:textId="77777777" w:rsidR="00D201ED" w:rsidRDefault="00D201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仿宋_GB2312">
    <w:altName w:val="仿宋"/>
    <w:panose1 w:val="020B0604020202020204"/>
    <w:charset w:val="86"/>
    <w:family w:val="auto"/>
    <w:pitch w:val="default"/>
    <w:sig w:usb0="00000000" w:usb1="00000000" w:usb2="00000012"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193B0D" w14:textId="77777777" w:rsidR="00D201ED" w:rsidRDefault="00D201ED">
      <w:pPr>
        <w:spacing w:after="0"/>
      </w:pPr>
      <w:r>
        <w:separator/>
      </w:r>
    </w:p>
  </w:footnote>
  <w:footnote w:type="continuationSeparator" w:id="0">
    <w:p w14:paraId="202C79E5" w14:textId="77777777" w:rsidR="00D201ED" w:rsidRDefault="00D201ED">
      <w:pPr>
        <w:spacing w:after="0"/>
      </w:pPr>
      <w:r>
        <w:continuationSeparator/>
      </w:r>
    </w:p>
  </w:footnote>
  <w:footnote w:id="1">
    <w:p w14:paraId="17C38415" w14:textId="77777777" w:rsidR="0025680F" w:rsidRDefault="00D201ED">
      <w:pPr>
        <w:pStyle w:val="a4"/>
      </w:pPr>
      <w:r>
        <w:rPr>
          <w:rStyle w:val="a6"/>
        </w:rPr>
        <w:footnoteRef/>
      </w:r>
      <w:r>
        <w:t xml:space="preserve"> </w:t>
      </w:r>
      <w:r>
        <w:rPr>
          <w:rFonts w:hint="eastAsia"/>
        </w:rPr>
        <w:t>胡百精：《危机传播管理</w:t>
      </w:r>
      <w:r>
        <w:rPr>
          <w:rFonts w:hint="eastAsia"/>
        </w:rPr>
        <w:t>.</w:t>
      </w:r>
      <w:r>
        <w:rPr>
          <w:rFonts w:hint="eastAsia"/>
        </w:rPr>
        <w:t>第</w:t>
      </w:r>
      <w:r>
        <w:rPr>
          <w:rFonts w:hint="eastAsia"/>
        </w:rPr>
        <w:t>3</w:t>
      </w:r>
      <w:r>
        <w:rPr>
          <w:rFonts w:hint="eastAsia"/>
        </w:rPr>
        <w:t>版》，中国人民大学出版社，</w:t>
      </w:r>
      <w:r>
        <w:rPr>
          <w:rFonts w:hint="eastAsia"/>
        </w:rPr>
        <w:t>2014</w:t>
      </w:r>
      <w:r>
        <w:rPr>
          <w:rFonts w:hint="eastAsia"/>
        </w:rPr>
        <w:t>，第</w:t>
      </w:r>
      <w:r>
        <w:rPr>
          <w:rFonts w:hint="eastAsia"/>
        </w:rPr>
        <w:t>15~16</w:t>
      </w:r>
      <w:r>
        <w:rPr>
          <w:rFonts w:hint="eastAsia"/>
        </w:rPr>
        <w:t>页。</w:t>
      </w:r>
    </w:p>
  </w:footnote>
  <w:footnote w:id="2">
    <w:p w14:paraId="726AFBBA" w14:textId="77777777" w:rsidR="0025680F" w:rsidRDefault="00D201ED">
      <w:pPr>
        <w:pStyle w:val="a4"/>
      </w:pPr>
      <w:r>
        <w:rPr>
          <w:rStyle w:val="a6"/>
        </w:rPr>
        <w:footnoteRef/>
      </w:r>
      <w:r>
        <w:t xml:space="preserve"> </w:t>
      </w:r>
      <w:r>
        <w:rPr>
          <w:rFonts w:hint="eastAsia"/>
        </w:rPr>
        <w:t>罗雪：《突发性公共安全事件的网络谣言消解机制——以上海外滩踩踏事件为例》，《新闻世界》</w:t>
      </w:r>
      <w:r>
        <w:rPr>
          <w:rFonts w:hint="eastAsia"/>
        </w:rPr>
        <w:t xml:space="preserve"> 2015</w:t>
      </w:r>
      <w:r>
        <w:rPr>
          <w:rFonts w:hint="eastAsia"/>
        </w:rPr>
        <w:t>年第</w:t>
      </w:r>
      <w:r>
        <w:rPr>
          <w:rFonts w:hint="eastAsia"/>
        </w:rPr>
        <w:t>7</w:t>
      </w:r>
      <w:r>
        <w:rPr>
          <w:rFonts w:hint="eastAsia"/>
        </w:rPr>
        <w:t>期，第</w:t>
      </w:r>
      <w:r>
        <w:rPr>
          <w:rFonts w:hint="eastAsia"/>
        </w:rPr>
        <w:t>275-276</w:t>
      </w:r>
      <w:r>
        <w:rPr>
          <w:rFonts w:hint="eastAsia"/>
        </w:rPr>
        <w:t>页。</w:t>
      </w:r>
    </w:p>
  </w:footnote>
  <w:footnote w:id="3">
    <w:p w14:paraId="5D7BA202" w14:textId="77777777" w:rsidR="0025680F" w:rsidRDefault="00D201ED">
      <w:pPr>
        <w:pStyle w:val="a4"/>
      </w:pPr>
      <w:r>
        <w:rPr>
          <w:rStyle w:val="a6"/>
        </w:rPr>
        <w:footnoteRef/>
      </w:r>
      <w:r>
        <w:t xml:space="preserve"> </w:t>
      </w:r>
      <w:r>
        <w:rPr>
          <w:rFonts w:hint="eastAsia"/>
        </w:rPr>
        <w:t>詹木生：《人工智能时代地方政府网络舆情治理的困境与进路》，《西南民族大学学报</w:t>
      </w:r>
      <w:r>
        <w:rPr>
          <w:rFonts w:hint="eastAsia"/>
        </w:rPr>
        <w:t>(</w:t>
      </w:r>
      <w:r>
        <w:rPr>
          <w:rFonts w:hint="eastAsia"/>
        </w:rPr>
        <w:t>人文社会科学版</w:t>
      </w:r>
      <w:r>
        <w:rPr>
          <w:rFonts w:hint="eastAsia"/>
        </w:rPr>
        <w:t>)</w:t>
      </w:r>
      <w:r>
        <w:rPr>
          <w:rFonts w:hint="eastAsia"/>
        </w:rPr>
        <w:t>》</w:t>
      </w:r>
      <w:r>
        <w:rPr>
          <w:rFonts w:hint="eastAsia"/>
        </w:rPr>
        <w:t>2023</w:t>
      </w:r>
      <w:r>
        <w:rPr>
          <w:rFonts w:hint="eastAsia"/>
        </w:rPr>
        <w:t>年第</w:t>
      </w:r>
      <w:r>
        <w:rPr>
          <w:rFonts w:hint="eastAsia"/>
        </w:rPr>
        <w:t>12</w:t>
      </w:r>
      <w:r>
        <w:rPr>
          <w:rFonts w:hint="eastAsia"/>
        </w:rPr>
        <w:t>期，第</w:t>
      </w:r>
      <w:r>
        <w:rPr>
          <w:rFonts w:hint="eastAsia"/>
        </w:rPr>
        <w:t>178-187</w:t>
      </w:r>
      <w:r>
        <w:rPr>
          <w:rFonts w:hint="eastAsia"/>
        </w:rPr>
        <w:t>页。</w:t>
      </w:r>
    </w:p>
  </w:footnote>
  <w:footnote w:id="4">
    <w:p w14:paraId="7563A07B" w14:textId="77777777" w:rsidR="0025680F" w:rsidRDefault="00D201ED">
      <w:pPr>
        <w:pStyle w:val="a4"/>
      </w:pPr>
      <w:r>
        <w:rPr>
          <w:rStyle w:val="a6"/>
        </w:rPr>
        <w:footnoteRef/>
      </w:r>
      <w:r>
        <w:t xml:space="preserve"> </w:t>
      </w:r>
      <w:r>
        <w:rPr>
          <w:rFonts w:hint="eastAsia"/>
        </w:rPr>
        <w:t>张文祥</w:t>
      </w:r>
      <w:r>
        <w:rPr>
          <w:rFonts w:hint="eastAsia"/>
        </w:rPr>
        <w:t xml:space="preserve">, </w:t>
      </w:r>
      <w:r>
        <w:rPr>
          <w:rFonts w:hint="eastAsia"/>
        </w:rPr>
        <w:t>杨林：《多元对话</w:t>
      </w:r>
      <w:r>
        <w:rPr>
          <w:rFonts w:hint="eastAsia"/>
        </w:rPr>
        <w:t>:</w:t>
      </w:r>
      <w:r>
        <w:rPr>
          <w:rFonts w:hint="eastAsia"/>
        </w:rPr>
        <w:t>突发公共卫生事件的信息传播治理》，《山东大学学报</w:t>
      </w:r>
      <w:r>
        <w:rPr>
          <w:rFonts w:hint="eastAsia"/>
        </w:rPr>
        <w:t>(</w:t>
      </w:r>
      <w:r>
        <w:rPr>
          <w:rFonts w:hint="eastAsia"/>
        </w:rPr>
        <w:t>哲学社会科学版》</w:t>
      </w:r>
      <w:r>
        <w:rPr>
          <w:rFonts w:hint="eastAsia"/>
        </w:rPr>
        <w:t xml:space="preserve"> 2020</w:t>
      </w:r>
      <w:r>
        <w:rPr>
          <w:rFonts w:hint="eastAsia"/>
        </w:rPr>
        <w:t>年第</w:t>
      </w:r>
      <w:r>
        <w:rPr>
          <w:rFonts w:hint="eastAsia"/>
        </w:rPr>
        <w:t>05</w:t>
      </w:r>
      <w:r>
        <w:rPr>
          <w:rFonts w:hint="eastAsia"/>
        </w:rPr>
        <w:t>期，第</w:t>
      </w:r>
      <w:r>
        <w:rPr>
          <w:rFonts w:hint="eastAsia"/>
        </w:rPr>
        <w:t>24-30</w:t>
      </w:r>
      <w:r>
        <w:rPr>
          <w:rFonts w:hint="eastAsia"/>
        </w:rPr>
        <w:t>页。</w:t>
      </w:r>
    </w:p>
  </w:footnote>
  <w:footnote w:id="5">
    <w:p w14:paraId="68B2B6DB" w14:textId="77777777" w:rsidR="0025680F" w:rsidRDefault="00D201ED">
      <w:pPr>
        <w:pStyle w:val="a4"/>
      </w:pPr>
      <w:r>
        <w:rPr>
          <w:rStyle w:val="a6"/>
        </w:rPr>
        <w:footnoteRef/>
      </w:r>
      <w:r>
        <w:t xml:space="preserve"> </w:t>
      </w:r>
      <w:r>
        <w:rPr>
          <w:rFonts w:hint="eastAsia"/>
        </w:rPr>
        <w:t>胡百精：《危机传播管理对话范式（上）——模型建构》，《当代传播》</w:t>
      </w:r>
      <w:r>
        <w:rPr>
          <w:rFonts w:hint="eastAsia"/>
        </w:rPr>
        <w:t>2018</w:t>
      </w:r>
      <w:r>
        <w:rPr>
          <w:rFonts w:hint="eastAsia"/>
        </w:rPr>
        <w:t>年第</w:t>
      </w:r>
      <w:r>
        <w:rPr>
          <w:rFonts w:hint="eastAsia"/>
        </w:rPr>
        <w:t>1</w:t>
      </w:r>
      <w:r>
        <w:rPr>
          <w:rFonts w:hint="eastAsia"/>
        </w:rPr>
        <w:t>期，第</w:t>
      </w:r>
      <w:r>
        <w:rPr>
          <w:rFonts w:hint="eastAsia"/>
        </w:rPr>
        <w:t>26-31</w:t>
      </w:r>
      <w:r>
        <w:rPr>
          <w:rFonts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7FFD41"/>
    <w:multiLevelType w:val="singleLevel"/>
    <w:tmpl w:val="267FFD41"/>
    <w:lvl w:ilvl="0">
      <w:start w:val="1"/>
      <w:numFmt w:val="chineseCounting"/>
      <w:pStyle w:val="3"/>
      <w:suff w:val="nothing"/>
      <w:lvlText w:val="（%1）"/>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680F"/>
    <w:rsid w:val="0025680F"/>
    <w:rsid w:val="00267E9B"/>
    <w:rsid w:val="0057789F"/>
    <w:rsid w:val="00D201ED"/>
    <w:rsid w:val="00FB769E"/>
    <w:rsid w:val="46130B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8C6A25"/>
  <w15:docId w15:val="{A21EB989-E5F1-8446-99FE-D85B6D93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annotation reference"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ind w:firstLine="420"/>
    </w:pPr>
    <w:rPr>
      <w:rFonts w:ascii="方正仿宋_GB2312" w:eastAsia="方正仿宋_GB2312" w:hAnsi="方正仿宋_GB2312" w:cs="方正仿宋_GB2312"/>
      <w:kern w:val="2"/>
      <w:sz w:val="24"/>
      <w:szCs w:val="24"/>
      <w14:ligatures w14:val="standardContextual"/>
    </w:rPr>
  </w:style>
  <w:style w:type="paragraph" w:styleId="3">
    <w:name w:val="heading 3"/>
    <w:basedOn w:val="a"/>
    <w:next w:val="a"/>
    <w:unhideWhenUsed/>
    <w:qFormat/>
    <w:pPr>
      <w:keepNext/>
      <w:keepLines/>
      <w:numPr>
        <w:numId w:val="1"/>
      </w:numPr>
      <w:spacing w:before="94" w:line="240" w:lineRule="auto"/>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rPr>
  </w:style>
  <w:style w:type="paragraph" w:styleId="a4">
    <w:name w:val="footnote text"/>
    <w:basedOn w:val="a"/>
    <w:qFormat/>
    <w:pPr>
      <w:snapToGrid w:val="0"/>
    </w:pPr>
    <w:rPr>
      <w:sz w:val="18"/>
    </w:rPr>
  </w:style>
  <w:style w:type="character" w:styleId="a5">
    <w:name w:val="annotation reference"/>
    <w:basedOn w:val="a0"/>
    <w:qFormat/>
    <w:rPr>
      <w:sz w:val="21"/>
      <w:szCs w:val="21"/>
    </w:rPr>
  </w:style>
  <w:style w:type="character" w:styleId="a6">
    <w:name w:val="footnote reference"/>
    <w:basedOn w:val="a0"/>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1865</Words>
  <Characters>10632</Characters>
  <Application>Microsoft Office Word</Application>
  <DocSecurity>0</DocSecurity>
  <Lines>88</Lines>
  <Paragraphs>24</Paragraphs>
  <ScaleCrop>false</ScaleCrop>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王佳乐</dc:creator>
  <cp:lastModifiedBy>bw</cp:lastModifiedBy>
  <cp:revision>4</cp:revision>
  <dcterms:created xsi:type="dcterms:W3CDTF">2025-11-15T07:41:00Z</dcterms:created>
  <dcterms:modified xsi:type="dcterms:W3CDTF">2025-11-19T06:48:00Z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eyJoZGlkIjoiYjhiNmY4MDUxMjZkMTNmNjQ3NjczNzc2ZDUyMjBjZTUiLCJ1c2VySWQiOiIxNzcwNzE3NDI4In0=</vt:lpwstr>
  </property>
  <property fmtid="{D5CDD505-2E9C-101B-9397-08002B2CF9AE}" pid="4" name="ICV">
    <vt:lpwstr>79E378D21648444ABA6BC65644DC8A8F_12</vt:lpwstr>
  </property>
</Properties>
</file>