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7AA1" w14:textId="77777777" w:rsidR="00520050" w:rsidRPr="00A20CEA" w:rsidRDefault="00190F51" w:rsidP="005D3E2B">
      <w:pPr>
        <w:spacing w:before="480" w:line="360" w:lineRule="auto"/>
        <w:jc w:val="center"/>
        <w:rPr>
          <w:rFonts w:asciiTheme="minorHAnsi" w:eastAsiaTheme="minorHAnsi" w:hAnsiTheme="minorHAnsi"/>
          <w:b/>
          <w:bCs/>
          <w:sz w:val="22"/>
          <w:szCs w:val="22"/>
        </w:rPr>
      </w:pPr>
      <w:r>
        <w:rPr>
          <w:rFonts w:asciiTheme="minorHAnsi" w:eastAsiaTheme="minorHAnsi" w:hAnsiTheme="minorHAnsi"/>
          <w:b/>
          <w:bCs/>
          <w:sz w:val="22"/>
          <w:szCs w:val="22"/>
        </w:rPr>
        <w:t>스테이블코인 준비금 공시의 시장반응 분석:</w:t>
      </w:r>
    </w:p>
    <w:p w14:paraId="596C5671" w14:textId="77777777" w:rsidR="00520050" w:rsidRPr="00A20CEA" w:rsidRDefault="00190F51" w:rsidP="005D3E2B">
      <w:pPr>
        <w:spacing w:after="40" w:line="360" w:lineRule="auto"/>
        <w:jc w:val="center"/>
        <w:rPr>
          <w:rFonts w:asciiTheme="minorHAnsi" w:eastAsiaTheme="minorHAnsi" w:hAnsiTheme="minorHAnsi"/>
          <w:b/>
          <w:bCs/>
          <w:sz w:val="22"/>
          <w:szCs w:val="22"/>
        </w:rPr>
      </w:pPr>
      <w:r>
        <w:rPr>
          <w:rFonts w:asciiTheme="minorHAnsi" w:eastAsiaTheme="minorHAnsi" w:hAnsiTheme="minorHAnsi"/>
          <w:b/>
          <w:bCs/>
          <w:sz w:val="22"/>
          <w:szCs w:val="22"/>
        </w:rPr>
        <w:t>USDT의 도피처 효과와 USDC의 구조적 취약성</w:t>
      </w:r>
    </w:p>
    <w:p w14:paraId="2C3D12BB" w14:textId="77777777" w:rsidR="00520050" w:rsidRPr="00A20CEA" w:rsidRDefault="00520050" w:rsidP="005D3E2B">
      <w:pPr>
        <w:spacing w:line="360" w:lineRule="auto"/>
        <w:rPr>
          <w:rFonts w:asciiTheme="minorHAnsi" w:eastAsiaTheme="minorHAnsi" w:hAnsiTheme="minorHAnsi"/>
          <w:b/>
          <w:bCs/>
          <w:sz w:val="22"/>
          <w:szCs w:val="22"/>
        </w:rPr>
      </w:pPr>
    </w:p>
    <w:p w14:paraId="3E045611" w14:textId="77777777" w:rsidR="00520050" w:rsidRPr="00A20CEA" w:rsidRDefault="00190F51" w:rsidP="005D3E2B">
      <w:pPr>
        <w:spacing w:line="360" w:lineRule="auto"/>
        <w:jc w:val="center"/>
        <w:rPr>
          <w:rFonts w:asciiTheme="minorHAnsi" w:eastAsiaTheme="minorHAnsi" w:hAnsiTheme="minorHAnsi"/>
          <w:b/>
          <w:bCs/>
          <w:sz w:val="22"/>
          <w:szCs w:val="22"/>
        </w:rPr>
      </w:pPr>
      <w:r>
        <w:rPr>
          <w:rFonts w:asciiTheme="minorHAnsi" w:eastAsiaTheme="minorHAnsi" w:hAnsiTheme="minorHAnsi" w:cs="Times New Roman"/>
          <w:b/>
          <w:bCs/>
          <w:sz w:val="22"/>
          <w:szCs w:val="22"/>
        </w:rPr>
        <w:t>The Market Reaction to Stablecoin Reserve Disclosures:</w:t>
      </w:r>
    </w:p>
    <w:p w14:paraId="4766A49D" w14:textId="77777777" w:rsidR="00520050" w:rsidRPr="00A20CEA" w:rsidRDefault="00190F51" w:rsidP="005D3E2B">
      <w:pPr>
        <w:spacing w:after="240" w:line="360" w:lineRule="auto"/>
        <w:jc w:val="center"/>
        <w:rPr>
          <w:rFonts w:asciiTheme="minorHAnsi" w:eastAsiaTheme="minorHAnsi" w:hAnsiTheme="minorHAnsi"/>
          <w:b/>
          <w:bCs/>
          <w:sz w:val="22"/>
          <w:szCs w:val="22"/>
        </w:rPr>
      </w:pPr>
      <w:r>
        <w:rPr>
          <w:rFonts w:asciiTheme="minorHAnsi" w:eastAsiaTheme="minorHAnsi" w:hAnsiTheme="minorHAnsi" w:cs="Times New Roman"/>
          <w:b/>
          <w:bCs/>
          <w:sz w:val="22"/>
          <w:szCs w:val="22"/>
        </w:rPr>
        <w:t>Flight-to-Safety in USDT and Structural Vulnerability in USDC</w:t>
      </w:r>
    </w:p>
    <w:p w14:paraId="47C5FE17" w14:textId="77777777" w:rsidR="00520050" w:rsidRPr="005D3E2B" w:rsidRDefault="00190F51" w:rsidP="005D3E2B">
      <w:pPr>
        <w:spacing w:after="80" w:line="360" w:lineRule="auto"/>
        <w:jc w:val="center"/>
        <w:rPr>
          <w:rFonts w:asciiTheme="minorHAnsi" w:eastAsiaTheme="minorHAnsi" w:hAnsiTheme="minorHAnsi"/>
          <w:sz w:val="20"/>
          <w:szCs w:val="20"/>
        </w:rPr>
      </w:pPr>
      <w:r>
        <w:rPr>
          <w:rFonts w:asciiTheme="minorHAnsi" w:eastAsiaTheme="minorHAnsi" w:hAnsiTheme="minorHAnsi"/>
          <w:sz w:val="20"/>
          <w:szCs w:val="20"/>
        </w:rPr>
        <w:t xml:space="preserve">저 자 : </w:t>
      </w:r>
      <w:r>
        <w:rPr>
          <w:rFonts w:asciiTheme="minorHAnsi" w:eastAsiaTheme="minorHAnsi" w:hAnsiTheme="minorHAnsi" w:hint="eastAsia"/>
          <w:sz w:val="20"/>
          <w:szCs w:val="20"/>
        </w:rPr>
        <w:t>함태웅</w:t>
      </w:r>
    </w:p>
    <w:p w14:paraId="11B19725" w14:textId="77777777" w:rsidR="00520050" w:rsidRPr="005D3E2B" w:rsidRDefault="00190F51" w:rsidP="005D3E2B">
      <w:pPr>
        <w:spacing w:after="80" w:line="360" w:lineRule="auto"/>
        <w:jc w:val="center"/>
        <w:rPr>
          <w:rFonts w:asciiTheme="minorHAnsi" w:eastAsiaTheme="minorHAnsi" w:hAnsiTheme="minorHAnsi"/>
          <w:sz w:val="20"/>
          <w:szCs w:val="20"/>
        </w:rPr>
      </w:pPr>
      <w:r>
        <w:rPr>
          <w:rFonts w:asciiTheme="minorHAnsi" w:eastAsiaTheme="minorHAnsi" w:hAnsiTheme="minorHAnsi"/>
          <w:sz w:val="20"/>
          <w:szCs w:val="20"/>
        </w:rPr>
        <w:t xml:space="preserve">소 속 : </w:t>
      </w:r>
      <w:r>
        <w:rPr>
          <w:rFonts w:asciiTheme="minorHAnsi" w:eastAsiaTheme="minorHAnsi" w:hAnsiTheme="minorHAnsi" w:hint="eastAsia"/>
          <w:sz w:val="20"/>
          <w:szCs w:val="20"/>
        </w:rPr>
        <w:t>서울과학기술대</w:t>
      </w:r>
    </w:p>
    <w:p w14:paraId="6500114C" w14:textId="77777777" w:rsidR="00520050" w:rsidRPr="005D3E2B" w:rsidRDefault="00190F51" w:rsidP="005D3E2B">
      <w:pPr>
        <w:spacing w:after="80" w:line="360" w:lineRule="auto"/>
        <w:jc w:val="center"/>
        <w:rPr>
          <w:rFonts w:asciiTheme="minorHAnsi" w:eastAsiaTheme="minorHAnsi" w:hAnsiTheme="minorHAnsi"/>
          <w:sz w:val="20"/>
          <w:szCs w:val="20"/>
        </w:rPr>
      </w:pPr>
      <w:r>
        <w:rPr>
          <w:rFonts w:asciiTheme="minorHAnsi" w:eastAsiaTheme="minorHAnsi" w:hAnsiTheme="minorHAnsi"/>
          <w:sz w:val="20"/>
          <w:szCs w:val="20"/>
        </w:rPr>
        <w:t xml:space="preserve">교신저자: </w:t>
      </w:r>
    </w:p>
    <w:p w14:paraId="4EA48CEA" w14:textId="77777777" w:rsidR="00520050" w:rsidRPr="005D3E2B" w:rsidRDefault="00520050" w:rsidP="005D3E2B">
      <w:pPr>
        <w:spacing w:line="360" w:lineRule="auto"/>
        <w:rPr>
          <w:rFonts w:asciiTheme="minorHAnsi" w:eastAsiaTheme="minorHAnsi" w:hAnsiTheme="minorHAnsi"/>
          <w:sz w:val="20"/>
          <w:szCs w:val="20"/>
        </w:rPr>
      </w:pPr>
    </w:p>
    <w:p w14:paraId="19BED3F6" w14:textId="77777777" w:rsidR="00520050" w:rsidRPr="005D3E2B" w:rsidRDefault="00520050" w:rsidP="005D3E2B">
      <w:pPr>
        <w:spacing w:line="360" w:lineRule="auto"/>
        <w:rPr>
          <w:rFonts w:asciiTheme="minorHAnsi" w:eastAsiaTheme="minorHAnsi" w:hAnsiTheme="minorHAnsi"/>
          <w:sz w:val="20"/>
          <w:szCs w:val="20"/>
        </w:rPr>
      </w:pPr>
    </w:p>
    <w:p w14:paraId="48D64DDF" w14:textId="77777777" w:rsidR="00520050" w:rsidRPr="005D3E2B" w:rsidRDefault="00190F51" w:rsidP="005D3E2B">
      <w:pPr>
        <w:spacing w:after="80" w:line="360" w:lineRule="auto"/>
        <w:rPr>
          <w:rFonts w:asciiTheme="minorHAnsi" w:eastAsiaTheme="minorHAnsi" w:hAnsiTheme="minorHAnsi"/>
          <w:sz w:val="20"/>
          <w:szCs w:val="20"/>
        </w:rPr>
      </w:pPr>
      <w:r>
        <w:rPr>
          <w:rFonts w:asciiTheme="minorHAnsi" w:eastAsiaTheme="minorHAnsi" w:hAnsiTheme="minorHAnsi"/>
          <w:b/>
          <w:bCs/>
          <w:sz w:val="20"/>
          <w:szCs w:val="20"/>
        </w:rPr>
        <w:t>【국문초록】</w:t>
      </w:r>
    </w:p>
    <w:p w14:paraId="6076451E" w14:textId="77777777" w:rsidR="00D41B31" w:rsidRPr="005D3E2B" w:rsidRDefault="00D41B31" w:rsidP="00C735F3">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본 연구는 세계 최대 달러 연동 스테이블코인인 USDT(Tether)와 USDC(Circle)를 대상으로, 2021년 1월부터 2024년 12월까지의 준비금 공시·규제·감사 이벤트 27건(USDT 19건, USDC 8건)이 시장가격에 미치는 영향을 이벤트 연구(event study) 방법론으로 분석하였다. 비트코인을 시장지수로 하는 시장모형을 적용하여 누적비정상수익률(CAR)을 산출하고, ①공시 이벤트의 가격 효과(H1), ②공시 품질지수와 CAR의 관계(H2), ③이벤트 유형별 반응의 비대칭성(H3)을 검정하였다.</w:t>
      </w:r>
    </w:p>
    <w:p w14:paraId="34467953" w14:textId="77777777" w:rsidR="00D41B31" w:rsidRPr="005D3E2B" w:rsidRDefault="00D41B31" w:rsidP="00C735F3">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분석 결과, 주 분석 창 CAR(</w:t>
      </w:r>
      <w:r>
        <w:rPr>
          <w:rFonts w:ascii="Cambria Math" w:eastAsiaTheme="minorHAnsi" w:hAnsi="Cambria Math" w:cs="Cambria Math"/>
          <w:sz w:val="20"/>
          <w:szCs w:val="20"/>
        </w:rPr>
        <w:t>−</w:t>
      </w:r>
      <w:r>
        <w:rPr>
          <w:rFonts w:asciiTheme="minorHAnsi" w:eastAsiaTheme="minorHAnsi" w:hAnsiTheme="minorHAnsi"/>
          <w:sz w:val="20"/>
          <w:szCs w:val="20"/>
        </w:rPr>
        <w:t xml:space="preserve">5,+5) 기준으로 USDT +0.25%(p=0.839), USDC +0.41%(p=0.578)로 나타나 통계적으로 유의하지 않아 H1에 대한 지지를 확인하지 못하였다. 공시 품질지수 계수는 +1.57bp(p=0.160)로 이론적 예측 방향과는 일치하였으나 통계적으로 유의하지 않았으며, 부정적 이벤트 더미는 +7.10bp(p=0.094)로 10% 유의수준에서 경계적 유의성을 보였다. USDT의 경우 부정 이벤트 시 CAR이 상대적으로 높게 나타나는 패턴이 확인되어 시장 불안 국면에서 안전자산적 수요가 유입될 가능성과 정합적인 결과를 보였으나, 통계적 강도는 제한적이었다. 반면 USDC는 SVB 파산(2023-03-10) 사례에서 </w:t>
      </w:r>
      <w:r>
        <w:rPr>
          <w:rFonts w:ascii="Cambria Math" w:eastAsiaTheme="minorHAnsi" w:hAnsi="Cambria Math" w:cs="Cambria Math"/>
          <w:sz w:val="20"/>
          <w:szCs w:val="20"/>
        </w:rPr>
        <w:t>−</w:t>
      </w:r>
      <w:r>
        <w:rPr>
          <w:rFonts w:asciiTheme="minorHAnsi" w:eastAsiaTheme="minorHAnsi" w:hAnsiTheme="minorHAnsi"/>
          <w:sz w:val="20"/>
          <w:szCs w:val="20"/>
        </w:rPr>
        <w:t>287.73%의 극단적 CAR(</w:t>
      </w:r>
      <w:r>
        <w:rPr>
          <w:rFonts w:ascii="Cambria Math" w:eastAsiaTheme="minorHAnsi" w:hAnsi="Cambria Math" w:cs="Cambria Math"/>
          <w:sz w:val="20"/>
          <w:szCs w:val="20"/>
        </w:rPr>
        <w:t>−</w:t>
      </w:r>
      <w:r>
        <w:rPr>
          <w:rFonts w:asciiTheme="minorHAnsi" w:eastAsiaTheme="minorHAnsi" w:hAnsiTheme="minorHAnsi"/>
          <w:sz w:val="20"/>
          <w:szCs w:val="20"/>
        </w:rPr>
        <w:t xml:space="preserve">1,+1) 충격을 경험하여, 특정 외생적 </w:t>
      </w:r>
      <w:r>
        <w:rPr>
          <w:rFonts w:asciiTheme="minorHAnsi" w:eastAsiaTheme="minorHAnsi" w:hAnsiTheme="minorHAnsi"/>
          <w:sz w:val="20"/>
          <w:szCs w:val="20"/>
        </w:rPr>
        <w:lastRenderedPageBreak/>
        <w:t>위기 상황에서 구조적 취약성이 노출될 가능성을 시사하였다.</w:t>
      </w:r>
    </w:p>
    <w:p w14:paraId="0EA92E70" w14:textId="7E5F7E98" w:rsidR="00D41B31" w:rsidRPr="005D3E2B" w:rsidRDefault="00D41B31" w:rsidP="00C735F3">
      <w:pPr>
        <w:spacing w:line="360" w:lineRule="auto"/>
        <w:ind w:firstLineChars="100" w:firstLine="200"/>
        <w:rPr>
          <w:rFonts w:asciiTheme="minorHAnsi" w:eastAsiaTheme="minorHAnsi" w:hAnsiTheme="minorHAnsi" w:hint="eastAsia"/>
          <w:sz w:val="20"/>
          <w:szCs w:val="20"/>
        </w:rPr>
      </w:pPr>
      <w:r>
        <w:rPr>
          <w:rFonts w:asciiTheme="minorHAnsi" w:eastAsiaTheme="minorHAnsi" w:hAnsiTheme="minorHAnsi"/>
          <w:sz w:val="20"/>
          <w:szCs w:val="20"/>
        </w:rPr>
        <w:t xml:space="preserve">강건성 분석에서도 주 분석 창의 공시 품질지수 계수는 +1.56~+1.63bp 범위로 방향성이 일관되게 나타났다. 본 연구는 스테이블코인 준비금 공시 이벤트를 대상으로 한 실증적 사건연구로서, 준비금 운용의 안정성 확보 및 공시 기준의 표준화 필요성에 대한 정책적 논의를 뒷받침하는 </w:t>
      </w:r>
      <w:r w:rsidR="006A06D2">
        <w:rPr>
          <w:rFonts w:asciiTheme="minorHAnsi" w:eastAsiaTheme="minorHAnsi" w:hAnsiTheme="minorHAnsi" w:hint="eastAsia"/>
          <w:sz w:val="20"/>
          <w:szCs w:val="20"/>
        </w:rPr>
        <w:t>근거로 제공되고자 한다.</w:t>
      </w:r>
    </w:p>
    <w:p w14:paraId="0B672488" w14:textId="77777777" w:rsidR="00520050" w:rsidRPr="005D3E2B" w:rsidRDefault="00520050" w:rsidP="005D3E2B">
      <w:pPr>
        <w:spacing w:line="360" w:lineRule="auto"/>
        <w:rPr>
          <w:rFonts w:asciiTheme="minorHAnsi" w:eastAsiaTheme="minorHAnsi" w:hAnsiTheme="minorHAnsi"/>
          <w:sz w:val="20"/>
          <w:szCs w:val="20"/>
        </w:rPr>
      </w:pPr>
    </w:p>
    <w:p w14:paraId="0EF11E78"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b/>
          <w:bCs/>
          <w:sz w:val="20"/>
          <w:szCs w:val="20"/>
        </w:rPr>
        <w:t xml:space="preserve">핵심 주제어: </w:t>
      </w:r>
      <w:r>
        <w:rPr>
          <w:rFonts w:asciiTheme="minorHAnsi" w:eastAsiaTheme="minorHAnsi" w:hAnsiTheme="minorHAnsi"/>
          <w:sz w:val="20"/>
          <w:szCs w:val="20"/>
        </w:rPr>
        <w:t>스테이블코인, 이벤트 연구, 누적비정상수익률(CAR), 준비금 공시, 도피처 효과, USDT, USDC, 준비금 투명성</w:t>
      </w:r>
    </w:p>
    <w:p w14:paraId="532AA9C0" w14:textId="77777777" w:rsidR="00520050" w:rsidRPr="005D3E2B" w:rsidRDefault="00520050" w:rsidP="005D3E2B">
      <w:pPr>
        <w:spacing w:line="360" w:lineRule="auto"/>
        <w:rPr>
          <w:rFonts w:asciiTheme="minorHAnsi" w:eastAsiaTheme="minorHAnsi" w:hAnsiTheme="minorHAnsi"/>
          <w:sz w:val="20"/>
          <w:szCs w:val="20"/>
        </w:rPr>
      </w:pPr>
    </w:p>
    <w:p w14:paraId="26BF0185" w14:textId="77777777" w:rsidR="00520050" w:rsidRPr="005D3E2B" w:rsidRDefault="00520050" w:rsidP="005D3E2B">
      <w:pPr>
        <w:spacing w:line="360" w:lineRule="auto"/>
        <w:rPr>
          <w:rFonts w:asciiTheme="minorHAnsi" w:eastAsiaTheme="minorHAnsi" w:hAnsiTheme="minorHAnsi"/>
          <w:sz w:val="20"/>
          <w:szCs w:val="20"/>
        </w:rPr>
      </w:pPr>
    </w:p>
    <w:p w14:paraId="08AA0BD5" w14:textId="77777777" w:rsidR="00520050" w:rsidRPr="005D3E2B" w:rsidRDefault="00190F51" w:rsidP="005D3E2B">
      <w:pPr>
        <w:pStyle w:val="1"/>
        <w:spacing w:line="360" w:lineRule="auto"/>
        <w:rPr>
          <w:rFonts w:asciiTheme="minorHAnsi" w:eastAsiaTheme="minorHAnsi" w:hAnsiTheme="minorHAnsi"/>
          <w:sz w:val="20"/>
          <w:szCs w:val="20"/>
        </w:rPr>
      </w:pPr>
      <w:r>
        <w:rPr>
          <w:rFonts w:asciiTheme="minorHAnsi" w:eastAsiaTheme="minorHAnsi" w:hAnsiTheme="minorHAnsi"/>
          <w:sz w:val="20"/>
          <w:szCs w:val="20"/>
        </w:rPr>
        <w:t>Ⅰ. 서  론</w:t>
      </w:r>
    </w:p>
    <w:p w14:paraId="7E94ACE9" w14:textId="77777777" w:rsidR="00D41B31" w:rsidRPr="005D3E2B" w:rsidRDefault="00D41B31"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글로벌 스테이블코인 시장은 2021년 이후 빠르게 확대되어, 2024년 말 기준 USDT의 시가총액은 약 1,000억 달러를 상회하고 USDC는 약 400억 달러 내외 수준을 유지하고 있다. 스테이블코인은 법정화폐와의 1:1 페그(peg)를 유지함으로써 디지털 자산 생태계의 결제 및 유동성 인프라로 정착하였으나, 준비금 투명성 부족과 불완전한 규제 환경은 지속적인 시장 불안 요인으로 지적되어 왔다(FSB, 2023).</w:t>
      </w:r>
    </w:p>
    <w:p w14:paraId="28BA723D" w14:textId="77777777" w:rsidR="00D41B31" w:rsidRPr="005D3E2B" w:rsidRDefault="00D41B31"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2021년 CFTC의 Tether 벌금 부과(4,100만 달러), 2022년 FTX 파산에 따른 시장 불안, 2023년 Silicon Valley Bank(SVB) 파산으로 촉발된 USDC 디페깅(de-pegging) 사태 등 일련의 사건은 스테이블코인의 신뢰 기반이 외생적 충격에 얼마나 민감할 수 있는지를 보여주었다. 한편, Tether의 BDO Italia 제3자 감사 도입</w:t>
      </w:r>
      <w:r>
        <w:rPr>
          <w:rFonts w:asciiTheme="minorHAnsi" w:eastAsiaTheme="minorHAnsi" w:hAnsiTheme="minorHAnsi"/>
          <w:sz w:val="20"/>
          <w:szCs w:val="20"/>
          <w:vertAlign w:val="superscript"/>
        </w:rPr>
        <w:footnoteReference w:id="1"/>
      </w:r>
      <w:r>
        <w:rPr>
          <w:rFonts w:asciiTheme="minorHAnsi" w:eastAsiaTheme="minorHAnsi" w:hAnsiTheme="minorHAnsi"/>
          <w:sz w:val="20"/>
          <w:szCs w:val="20"/>
        </w:rPr>
        <w:t>, Circle의 Deloitte 감사체계 전환</w:t>
      </w:r>
      <w:r>
        <w:rPr>
          <w:rFonts w:asciiTheme="minorHAnsi" w:eastAsiaTheme="minorHAnsi" w:hAnsiTheme="minorHAnsi"/>
          <w:sz w:val="20"/>
          <w:szCs w:val="20"/>
          <w:vertAlign w:val="superscript"/>
        </w:rPr>
        <w:footnoteReference w:id="2"/>
      </w:r>
      <w:r>
        <w:rPr>
          <w:rFonts w:asciiTheme="minorHAnsi" w:eastAsiaTheme="minorHAnsi" w:hAnsiTheme="minorHAnsi"/>
          <w:sz w:val="20"/>
          <w:szCs w:val="20"/>
        </w:rPr>
        <w:t>과 같은 투명성 제고 노력도 병행되고 있어, 이러한 준비금 공시 및 감사 관련 이벤트가 시장가격에 미치는 영향을 실증적으로 분석하</w:t>
      </w:r>
      <w:r>
        <w:rPr>
          <w:rFonts w:asciiTheme="minorHAnsi" w:eastAsiaTheme="minorHAnsi" w:hAnsiTheme="minorHAnsi"/>
          <w:sz w:val="20"/>
          <w:szCs w:val="20"/>
        </w:rPr>
        <w:lastRenderedPageBreak/>
        <w:t>는 것은 중요한 학술적·정책적 과제로 부상하고 있다.</w:t>
      </w:r>
    </w:p>
    <w:p w14:paraId="13BD50ED" w14:textId="7ADFB74B" w:rsidR="00D41B31" w:rsidRPr="005D3E2B" w:rsidRDefault="00D41B31"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기존 연구는 주로 테라-루나 붕괴나 FTX 파산과 같은 극단적 위기 사건에 초점을 맞추어 왔으며(한국은행, 2025), 일상적인 준비금 공시 및 감사 이벤트에 대한 시장반응을 체계적으로 분석한 연구는 제한적으로 이루어져 왔다. 심인숙(2021)은 법규제 관점에서 USDT 준비금 공시의 구조적 허위표시 문제와 정보 비대칭의 심각성을 제기하였으나, 이를 계량적으로 검증하는 이벤트 연구는 수행되지 않았다. 특히 국내에서는 「가상자산이용자보호법」(2023) 시행과 원화 스테이블코인 도입 논의가 진행되고 있어, 글로벌 주요 스테이블코인의 공시 효과를 분석하는 연구는 정책 설계 측면에서도 중요</w:t>
      </w:r>
      <w:r w:rsidR="00D85248">
        <w:rPr>
          <w:rFonts w:asciiTheme="minorHAnsi" w:eastAsiaTheme="minorHAnsi" w:hAnsiTheme="minorHAnsi" w:hint="eastAsia"/>
          <w:sz w:val="20"/>
          <w:szCs w:val="20"/>
        </w:rPr>
        <w:t>하다</w:t>
      </w:r>
      <w:r>
        <w:rPr>
          <w:rFonts w:asciiTheme="minorHAnsi" w:eastAsiaTheme="minorHAnsi" w:hAnsiTheme="minorHAnsi"/>
          <w:sz w:val="20"/>
          <w:szCs w:val="20"/>
        </w:rPr>
        <w:t>.</w:t>
      </w:r>
    </w:p>
    <w:p w14:paraId="60D64181" w14:textId="30FEF9E7" w:rsidR="00D41B31" w:rsidRPr="005D3E2B" w:rsidRDefault="00D41B31" w:rsidP="005D3E2B">
      <w:pPr>
        <w:spacing w:line="360" w:lineRule="auto"/>
        <w:ind w:firstLineChars="200" w:firstLine="400"/>
        <w:rPr>
          <w:rFonts w:asciiTheme="minorHAnsi" w:eastAsiaTheme="minorHAnsi" w:hAnsiTheme="minorHAnsi"/>
          <w:sz w:val="20"/>
          <w:szCs w:val="20"/>
        </w:rPr>
      </w:pPr>
      <w:r>
        <w:rPr>
          <w:rFonts w:asciiTheme="minorHAnsi" w:eastAsiaTheme="minorHAnsi" w:hAnsiTheme="minorHAnsi"/>
          <w:sz w:val="20"/>
          <w:szCs w:val="20"/>
        </w:rPr>
        <w:t>이에 본 연구는 다음의 세 가지 목적을 가진다. 첫째, 준비금 공시·감사·규제 이벤트가 USDT와 USDC의 가격에 통계적으로 유의한 비정상수익률을 유발하는지를 검정</w:t>
      </w:r>
      <w:r w:rsidR="00D85248">
        <w:rPr>
          <w:rFonts w:asciiTheme="minorHAnsi" w:eastAsiaTheme="minorHAnsi" w:hAnsiTheme="minorHAnsi" w:hint="eastAsia"/>
          <w:sz w:val="20"/>
          <w:szCs w:val="20"/>
        </w:rPr>
        <w:t>하고자 한다</w:t>
      </w:r>
      <w:r>
        <w:rPr>
          <w:rFonts w:asciiTheme="minorHAnsi" w:eastAsiaTheme="minorHAnsi" w:hAnsiTheme="minorHAnsi"/>
          <w:sz w:val="20"/>
          <w:szCs w:val="20"/>
        </w:rPr>
        <w:t>. 둘째, 공시 품질지수(quality score)가 시장반응의 크기에 미치는 영향을 실증적으로 분석</w:t>
      </w:r>
      <w:r w:rsidR="00D85248">
        <w:rPr>
          <w:rFonts w:asciiTheme="minorHAnsi" w:eastAsiaTheme="minorHAnsi" w:hAnsiTheme="minorHAnsi" w:hint="eastAsia"/>
          <w:sz w:val="20"/>
          <w:szCs w:val="20"/>
        </w:rPr>
        <w:t>하고자 한다</w:t>
      </w:r>
      <w:r>
        <w:rPr>
          <w:rFonts w:asciiTheme="minorHAnsi" w:eastAsiaTheme="minorHAnsi" w:hAnsiTheme="minorHAnsi"/>
          <w:sz w:val="20"/>
          <w:szCs w:val="20"/>
        </w:rPr>
        <w:t>. 셋째, 긍정 및 부정 공시 간 시장반응의 비대칭성을 분석하고, 특히 USDT에서 관찰되는 도피처 효과의 가능성을 탐색</w:t>
      </w:r>
      <w:r w:rsidR="00D85248">
        <w:rPr>
          <w:rFonts w:asciiTheme="minorHAnsi" w:eastAsiaTheme="minorHAnsi" w:hAnsiTheme="minorHAnsi" w:hint="eastAsia"/>
          <w:sz w:val="20"/>
          <w:szCs w:val="20"/>
        </w:rPr>
        <w:t>하고자 한다</w:t>
      </w:r>
      <w:r>
        <w:rPr>
          <w:rFonts w:asciiTheme="minorHAnsi" w:eastAsiaTheme="minorHAnsi" w:hAnsiTheme="minorHAnsi"/>
          <w:sz w:val="20"/>
          <w:szCs w:val="20"/>
        </w:rPr>
        <w:t>.</w:t>
      </w:r>
    </w:p>
    <w:p w14:paraId="169BCE8D" w14:textId="451A9083" w:rsidR="00D41B31" w:rsidRPr="005D3E2B" w:rsidRDefault="00D41B31" w:rsidP="00D85248">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 xml:space="preserve">본 연구는 스테이블코인 준비금 공시 이벤트를 대상으로 한 초기의 체계적 </w:t>
      </w:r>
      <w:r w:rsidR="00D85248">
        <w:rPr>
          <w:rFonts w:asciiTheme="minorHAnsi" w:eastAsiaTheme="minorHAnsi" w:hAnsiTheme="minorHAnsi" w:hint="eastAsia"/>
          <w:sz w:val="20"/>
          <w:szCs w:val="20"/>
        </w:rPr>
        <w:t xml:space="preserve">이벤트 </w:t>
      </w:r>
      <w:r>
        <w:rPr>
          <w:rFonts w:asciiTheme="minorHAnsi" w:eastAsiaTheme="minorHAnsi" w:hAnsiTheme="minorHAnsi"/>
          <w:sz w:val="20"/>
          <w:szCs w:val="20"/>
        </w:rPr>
        <w:t>연구로서, 준비금 공시 품질을 정량화한 지표를 제시한다는 점에서 방법론적 기여를 가</w:t>
      </w:r>
      <w:r w:rsidR="00D85248">
        <w:rPr>
          <w:rFonts w:asciiTheme="minorHAnsi" w:eastAsiaTheme="minorHAnsi" w:hAnsiTheme="minorHAnsi" w:hint="eastAsia"/>
          <w:sz w:val="20"/>
          <w:szCs w:val="20"/>
        </w:rPr>
        <w:t>지고자 하며</w:t>
      </w:r>
      <w:r>
        <w:rPr>
          <w:rFonts w:asciiTheme="minorHAnsi" w:eastAsiaTheme="minorHAnsi" w:hAnsiTheme="minorHAnsi"/>
          <w:sz w:val="20"/>
          <w:szCs w:val="20"/>
        </w:rPr>
        <w:t>, 나아가 스테이블코인 준비금 운용의 안정성 확보와 공시 기준의 표준화 필요성에 대한 실증적 근거를 제공하고자 한다.</w:t>
      </w:r>
    </w:p>
    <w:p w14:paraId="724FC525" w14:textId="77777777" w:rsidR="00D41B31" w:rsidRPr="005D3E2B" w:rsidRDefault="00D41B31" w:rsidP="00D85248">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 xml:space="preserve">이하 제Ⅱ장은 이론적 배경 및 선행연구를 검토하고, 제Ⅲ장은 연구방법론을 제시한다. 제Ⅳ장은 실증분석 결과를 </w:t>
      </w:r>
      <w:r>
        <w:rPr>
          <w:rFonts w:asciiTheme="minorHAnsi" w:eastAsiaTheme="minorHAnsi" w:hAnsiTheme="minorHAnsi" w:hint="eastAsia"/>
          <w:sz w:val="20"/>
          <w:szCs w:val="20"/>
        </w:rPr>
        <w:t>분석하고</w:t>
      </w:r>
      <w:r>
        <w:rPr>
          <w:rFonts w:asciiTheme="minorHAnsi" w:eastAsiaTheme="minorHAnsi" w:hAnsiTheme="minorHAnsi"/>
          <w:sz w:val="20"/>
          <w:szCs w:val="20"/>
        </w:rPr>
        <w:t>, 제Ⅴ장은 결론 및 시사점을 논의</w:t>
      </w:r>
      <w:r>
        <w:rPr>
          <w:rFonts w:asciiTheme="minorHAnsi" w:eastAsiaTheme="minorHAnsi" w:hAnsiTheme="minorHAnsi" w:hint="eastAsia"/>
          <w:sz w:val="20"/>
          <w:szCs w:val="20"/>
        </w:rPr>
        <w:t>하고자 한다</w:t>
      </w:r>
      <w:r>
        <w:rPr>
          <w:rFonts w:asciiTheme="minorHAnsi" w:eastAsiaTheme="minorHAnsi" w:hAnsiTheme="minorHAnsi"/>
          <w:sz w:val="20"/>
          <w:szCs w:val="20"/>
        </w:rPr>
        <w:t>.</w:t>
      </w:r>
    </w:p>
    <w:p w14:paraId="794B190B" w14:textId="77777777" w:rsidR="00520050" w:rsidRPr="005D3E2B" w:rsidRDefault="00520050" w:rsidP="005D3E2B">
      <w:pPr>
        <w:spacing w:line="360" w:lineRule="auto"/>
        <w:rPr>
          <w:rFonts w:asciiTheme="minorHAnsi" w:eastAsiaTheme="minorHAnsi" w:hAnsiTheme="minorHAnsi"/>
          <w:sz w:val="20"/>
          <w:szCs w:val="20"/>
        </w:rPr>
      </w:pPr>
    </w:p>
    <w:p w14:paraId="510CBDE5" w14:textId="77777777" w:rsidR="00520050" w:rsidRPr="005D3E2B" w:rsidRDefault="00190F51" w:rsidP="005D3E2B">
      <w:pPr>
        <w:pStyle w:val="1"/>
        <w:spacing w:line="360" w:lineRule="auto"/>
        <w:rPr>
          <w:rFonts w:asciiTheme="minorHAnsi" w:eastAsiaTheme="minorHAnsi" w:hAnsiTheme="minorHAnsi"/>
          <w:sz w:val="20"/>
          <w:szCs w:val="20"/>
        </w:rPr>
      </w:pPr>
      <w:r>
        <w:rPr>
          <w:rFonts w:asciiTheme="minorHAnsi" w:eastAsiaTheme="minorHAnsi" w:hAnsiTheme="minorHAnsi"/>
          <w:sz w:val="20"/>
          <w:szCs w:val="20"/>
        </w:rPr>
        <w:t>Ⅱ. 이론적 배경 및 선행연구</w:t>
      </w:r>
    </w:p>
    <w:p w14:paraId="70DDE09E"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1. 스테이블코인의 유형과 준비금 공시</w:t>
      </w:r>
    </w:p>
    <w:p w14:paraId="0AFEF2DB" w14:textId="77777777" w:rsidR="00D41B31" w:rsidRPr="00A20CEA"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 xml:space="preserve">스테이블코인은 가격 안정화 메커니즘에 따라 법정화폐 담보형, 암호자산 담보형, 알고리즘형으로 분류된다(FSB, 2020). 이 중 법정화폐 담보형 스테이블코인은 발행량에 상응하는 법정화폐 또는 </w:t>
      </w:r>
      <w:r>
        <w:rPr>
          <w:rFonts w:asciiTheme="minorHAnsi" w:eastAsiaTheme="minorHAnsi" w:hAnsiTheme="minorHAnsi"/>
          <w:sz w:val="20"/>
          <w:szCs w:val="20"/>
        </w:rPr>
        <w:lastRenderedPageBreak/>
        <w:t>국채 등 안전자산을 준비금으로 보유하고, 해당 내역을 지속적으로 공시하는 것이 핵심 신뢰 기반으로 작용한다.</w:t>
      </w:r>
    </w:p>
    <w:p w14:paraId="71B76CEF" w14:textId="77777777" w:rsidR="00D41B31" w:rsidRPr="00A20CEA"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USDT(Tether)는 2021년 CFTC 제재 이후 준비금 구성 공시를 강화하였으며, 2022년부터 분기별 증명보고서(attestation report)를 발행하고 있다. 또한 2023년부터 BDO Italia를 통한 제3자 증명을 도입하였다. USDC(Circle)는 Deloitte를 통한 월별 증명보고서를 발행하며 비교적 높은 수준의 준비금 투명성을 유지하고 있다(Tether, 2021~2024; Circle, 2021~2024).</w:t>
      </w:r>
    </w:p>
    <w:p w14:paraId="24DB0191" w14:textId="77777777" w:rsidR="00D41B31" w:rsidRPr="005D3E2B" w:rsidRDefault="00D41B31" w:rsidP="00A20CEA">
      <w:pPr>
        <w:spacing w:line="360" w:lineRule="auto"/>
        <w:ind w:firstLineChars="100" w:firstLine="200"/>
        <w:rPr>
          <w:rFonts w:asciiTheme="minorHAnsi" w:eastAsiaTheme="minorHAnsi" w:hAnsiTheme="minorHAnsi"/>
          <w:b/>
          <w:bCs/>
          <w:sz w:val="20"/>
          <w:szCs w:val="20"/>
        </w:rPr>
      </w:pPr>
      <w:r>
        <w:rPr>
          <w:rFonts w:asciiTheme="minorHAnsi" w:eastAsiaTheme="minorHAnsi" w:hAnsiTheme="minorHAnsi"/>
          <w:sz w:val="20"/>
          <w:szCs w:val="20"/>
        </w:rPr>
        <w:t>준비금 공시의 신호효과에 대한 이론적 근거로는 정보 비대칭 이론(Akerlof, 1970)과 신호 이론(Spence, 1973)을 들 수 있다. 준비금의 구성, 규모, 안전성이 투명하게 공개될 경우 역선택 문제를 완화하고 투자자 신뢰를 제고함으로써 양(+)의 가격반응이 유발될 수 있다. 반면, 스테이블코인은 가격 안정성을 목적으로 설계된 자산이므로, 정보의 가격 반영이 제한적으로 나타날 가능성도 존재한다. 이러한 이론적 상충성은 공시 이벤트의 시장반응이 사전에 명확하게 예측되지 않음을 시사하며, 이에 대한 실증적 분석</w:t>
      </w:r>
      <w:r>
        <w:rPr>
          <w:rFonts w:asciiTheme="minorHAnsi" w:eastAsiaTheme="minorHAnsi" w:hAnsiTheme="minorHAnsi" w:hint="eastAsia"/>
          <w:sz w:val="20"/>
          <w:szCs w:val="20"/>
        </w:rPr>
        <w:t>이 필요하다</w:t>
      </w:r>
      <w:r>
        <w:rPr>
          <w:rFonts w:asciiTheme="minorHAnsi" w:eastAsiaTheme="minorHAnsi" w:hAnsiTheme="minorHAnsi"/>
          <w:sz w:val="20"/>
          <w:szCs w:val="20"/>
        </w:rPr>
        <w:t>.</w:t>
      </w:r>
    </w:p>
    <w:p w14:paraId="00D7CB28" w14:textId="77777777" w:rsidR="00520050" w:rsidRPr="005D3E2B" w:rsidRDefault="00190F51" w:rsidP="005D3E2B">
      <w:pPr>
        <w:pStyle w:val="3"/>
        <w:spacing w:after="160" w:line="360" w:lineRule="auto"/>
        <w:rPr>
          <w:rFonts w:asciiTheme="minorHAnsi" w:eastAsiaTheme="minorHAnsi" w:hAnsiTheme="minorHAnsi"/>
          <w:sz w:val="20"/>
          <w:szCs w:val="20"/>
        </w:rPr>
      </w:pPr>
      <w:r>
        <w:rPr>
          <w:rFonts w:asciiTheme="minorHAnsi" w:eastAsiaTheme="minorHAnsi" w:hAnsiTheme="minorHAnsi"/>
          <w:sz w:val="20"/>
          <w:szCs w:val="20"/>
        </w:rPr>
        <w:t>(1) USDT 준비금 공시의 허위표시와 규제 집행</w:t>
      </w:r>
    </w:p>
    <w:p w14:paraId="719968D6" w14:textId="6067896C" w:rsidR="00D41B31" w:rsidRPr="00A20CEA"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심인숙(2021)은 스테이블코인의 안정화 메커니즘을 구성하는 핵심 요소로 준거자산, 준비자산 운용 구조, 코인 보유자의 법적 권리, 지배구조, 감시장치, 정보공개 체계를 제시하고, 특히 준비자산 관련 정보공개의 불완전성이 심각한 정보 비대칭 문제를 야기할 수 있음을 지적하였다. 이러한 문제의식은 준비금 공시의 신뢰성과 그 시장 효과를 계량적으로 검증할 필요성을 제기</w:t>
      </w:r>
      <w:r w:rsidR="00D85248">
        <w:rPr>
          <w:rFonts w:asciiTheme="minorHAnsi" w:eastAsiaTheme="minorHAnsi" w:hAnsiTheme="minorHAnsi" w:hint="eastAsia"/>
          <w:sz w:val="20"/>
          <w:szCs w:val="20"/>
        </w:rPr>
        <w:t>하였다</w:t>
      </w:r>
      <w:r>
        <w:rPr>
          <w:rFonts w:asciiTheme="minorHAnsi" w:eastAsiaTheme="minorHAnsi" w:hAnsiTheme="minorHAnsi"/>
          <w:sz w:val="20"/>
          <w:szCs w:val="20"/>
        </w:rPr>
        <w:t>.</w:t>
      </w:r>
    </w:p>
    <w:p w14:paraId="2557D980" w14:textId="77777777" w:rsidR="00D41B31" w:rsidRPr="00A20CEA"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뉴욕주 검찰은 2021년 2월, Tether가 2014년 출시 이후 상당 기간 동안 USDT 발행량을 100% 미달러화로 뒷받침한다고 표시하였으나 실제로는 준비금이 충분하지 않았음을 적발하고 1,850만 달러의 민사합의를 도출하였다. 이어 CFTC는 2021년 10월 동일 사안에 대해 4,100만 달러의 민사제재금을 부과하였다(CFTC, 2021). 이러한 규제 집행 사례는 준비금 공시의 허위 또는 과장이 시장 신뢰에 미칠 수 있는 부정적 영향을 제도적 차원에서 보여준다.</w:t>
      </w:r>
    </w:p>
    <w:p w14:paraId="363FB6FA" w14:textId="77777777" w:rsidR="00520050" w:rsidRPr="005D3E2B" w:rsidRDefault="00190F51" w:rsidP="005D3E2B">
      <w:pPr>
        <w:pStyle w:val="3"/>
        <w:spacing w:after="160" w:line="360" w:lineRule="auto"/>
        <w:rPr>
          <w:rFonts w:asciiTheme="minorHAnsi" w:eastAsiaTheme="minorHAnsi" w:hAnsiTheme="minorHAnsi"/>
          <w:sz w:val="20"/>
          <w:szCs w:val="20"/>
        </w:rPr>
      </w:pPr>
      <w:r>
        <w:rPr>
          <w:rFonts w:asciiTheme="minorHAnsi" w:eastAsiaTheme="minorHAnsi" w:hAnsiTheme="minorHAnsi"/>
          <w:sz w:val="20"/>
          <w:szCs w:val="20"/>
        </w:rPr>
        <w:t>(2) 준비금 공시 규제의 국제적 전개</w:t>
      </w:r>
    </w:p>
    <w:p w14:paraId="455B667E" w14:textId="77777777" w:rsidR="00BC7A75" w:rsidRPr="005D3E2B" w:rsidRDefault="00BC7A75"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lastRenderedPageBreak/>
        <w:t>EU 암호자산시장규제(MiCA)</w:t>
      </w:r>
      <w:r>
        <w:rPr>
          <w:rFonts w:asciiTheme="minorHAnsi" w:eastAsiaTheme="minorHAnsi" w:hAnsiTheme="minorHAnsi"/>
          <w:sz w:val="20"/>
          <w:szCs w:val="20"/>
        </w:rPr>
        <w:footnoteReference w:id="3"/>
      </w:r>
      <w:r>
        <w:rPr>
          <w:rFonts w:asciiTheme="minorHAnsi" w:eastAsiaTheme="minorHAnsi" w:hAnsiTheme="minorHAnsi"/>
          <w:sz w:val="20"/>
          <w:szCs w:val="20"/>
        </w:rPr>
        <w:t>는 자산준거토큰(ART) 발행인에 대해 6개월마다 외부기관 감사를 의무화하고 월별 준비자산 구성을 공개하도록 규정하며, 준비자산 규모의 2% 이상을 자기자본으로 유지하도록 하였다. 미국의 GENIUS Act는 2025년 7월 정식 법률로 발효되어 발행인에 대해 매월 준비금 내용을 공시하고 공인회계법인으로부터 검증받도록 의무화하였으며, 준비자산으로 허용되는 자산을 달러·연방준비은행 예치금·만기 93일 미만 국채 등으로 제한하였다(허유경·최태은, 2025). 송민채(2025)는 미국·EU·일본 주요국 법안 비교를 통해 준비자산 요건 설계에 따라 금융시장에 미치는 영향이 크게 달라질 수 있음을 분석하였다.</w:t>
      </w:r>
    </w:p>
    <w:p w14:paraId="5E77C929"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2. 이벤트 연구와 암호자산 시장의 정보 효율성</w:t>
      </w:r>
    </w:p>
    <w:p w14:paraId="346D1E7C" w14:textId="77777777" w:rsidR="00D41B31" w:rsidRPr="005D3E2B"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이벤트 연구(event study)는 특정 사건이 자산 가격에 미치는 영향을 비정상수익률(abnormal return)을 통해 측정하는 표준적 방법론이다(MacKinlay, 1997). 이 방법론은 주식시장에서의 실적 발표(Ball &amp; Brown, 1968), 합병·인수, 규제 변화 등 다양한 이벤트 분석에 광범위하게 활용되어 왔으며, 암호자산 시장에서도 포크(fork) 이벤트(Biais et al., 2019), 거래소 해킹(Moore &amp; Christin, 2013) 등의 연구에 적용된 바 있다.</w:t>
      </w:r>
    </w:p>
    <w:p w14:paraId="593746CC" w14:textId="5D2B497E" w:rsidR="00D41B31" w:rsidRPr="005D3E2B"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또한 Bouri et al.(2018)은 강세장과 약세장 국면에 따라 비트코인과 주요 금융자산 간 수익률 전이(spillover) 구조가 달라짐을 보여, 시장 국면이 정보 반영 방식에 영향을 미칠 수 있음을 제시하였다. 이러한 연구들은 규제 및 시장 이벤트가 암호자산 가격에 통계적으로 유의한 영향을 미칠 수 있음을 보여주지만, 분석 대상이 변동성이 높은 암호자산에 집중되어 있다는 점에서 가격 안정성을 설계 목표로 하는 스테이블코인에 직접적으로 적용하기에는 한계가 존재</w:t>
      </w:r>
      <w:r w:rsidR="00D85248">
        <w:rPr>
          <w:rFonts w:asciiTheme="minorHAnsi" w:eastAsiaTheme="minorHAnsi" w:hAnsiTheme="minorHAnsi" w:hint="eastAsia"/>
          <w:sz w:val="20"/>
          <w:szCs w:val="20"/>
        </w:rPr>
        <w:t>하고 있다</w:t>
      </w:r>
      <w:r>
        <w:rPr>
          <w:rFonts w:asciiTheme="minorHAnsi" w:eastAsiaTheme="minorHAnsi" w:hAnsiTheme="minorHAnsi"/>
          <w:sz w:val="20"/>
          <w:szCs w:val="20"/>
        </w:rPr>
        <w:t>.</w:t>
      </w:r>
    </w:p>
    <w:p w14:paraId="38A3F273" w14:textId="77777777" w:rsidR="00BC7A75" w:rsidRPr="005D3E2B"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따라서 본 연구는 이러한 연구 간극을 보완하기 위해, 스테이블코인의 준비금 공시 및 규제 이벤트를 대상으로 이벤트 연구 방법론을 직접 적용하여 시장 반응을 실증적으로 분석하고, 스테이블코인의 정보 효율성에 대한 새로운 경험적 근거를 제시하고자 한다.</w:t>
      </w:r>
    </w:p>
    <w:p w14:paraId="049906AA" w14:textId="77777777" w:rsidR="00520050" w:rsidRPr="005D3E2B" w:rsidRDefault="00190F51" w:rsidP="005D3E2B">
      <w:pPr>
        <w:pStyle w:val="3"/>
        <w:spacing w:after="160" w:line="360" w:lineRule="auto"/>
        <w:rPr>
          <w:rFonts w:asciiTheme="minorHAnsi" w:eastAsiaTheme="minorHAnsi" w:hAnsiTheme="minorHAnsi"/>
          <w:sz w:val="20"/>
          <w:szCs w:val="20"/>
        </w:rPr>
      </w:pPr>
      <w:r>
        <w:rPr>
          <w:rFonts w:asciiTheme="minorHAnsi" w:eastAsiaTheme="minorHAnsi" w:hAnsiTheme="minorHAnsi"/>
          <w:sz w:val="20"/>
          <w:szCs w:val="20"/>
        </w:rPr>
        <w:t>(1) 스테이블코인 시장의 정보 효율성</w:t>
      </w:r>
    </w:p>
    <w:p w14:paraId="7DA155E9" w14:textId="77777777" w:rsidR="00D41B31" w:rsidRPr="005D3E2B"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lastRenderedPageBreak/>
        <w:t>스테이블코인 시장의 정보 효율성에 대해서는 상반된 이론적 견해가 존재한다. 한편으로는 24시간 글로벌 거래 환경과 차익거래 참여자에 의한 가격 조정 메커니즘으로 인해 정보가 신속하게 가격에 반영될 가능성이 있다. 다른 한편으로는 페그 유지 메커니즘과 중앙집중식 발행자의 시장 개입이 가격 변동을 억제함으로써, 정보의 반영이 수익률보다는 거래량이나 페그 이탈(peg deviation)과 같은 다른 채널을 통해 나타날 가능성도 존재한다.</w:t>
      </w:r>
    </w:p>
    <w:p w14:paraId="3169C7A7" w14:textId="77777777" w:rsidR="00D41B31" w:rsidRPr="005D3E2B"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조기정·박종현·안현철(2023)은 이러한 논의에 중요한 시사점을 제공한다. 해당 연구는 국내 업비트와 해외 바이낸스 간 비트코인 김치프리미엄과 환율 간 관계를 분석한 결과, 설명력(R²)이 0.032 수준으로 매우 낮게 나타남을 보고하였다. 이는 동일 자산임에도 불구하고 시장 간 가격 정보가 완전히 통합되지 않을 수 있음을 시사하며, 암호자산 시장에 구조적 마찰이 존재할 가능성을 보여준다.</w:t>
      </w:r>
    </w:p>
    <w:p w14:paraId="421D1CD2" w14:textId="25C8826B" w:rsidR="00D41B31" w:rsidRPr="005D3E2B"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스테이블코인은 비트코인에 비해 가격 변동폭이 극히 제한된 특성을 가지므로, 정보가 수익률에 반영되는 정도가 상대적으로 작을 수 있다. 따라서 준비금 공시와 같은 정보 이벤트의 시장반응이 가격(CAR) 기준에서는 제한적으로 나타날 가능성이 있으며, 이는 본 연구에서 실증적으로 검증할 주요 가설 설정의 이론적 근거를 제공</w:t>
      </w:r>
      <w:r w:rsidR="00D85248">
        <w:rPr>
          <w:rFonts w:asciiTheme="minorHAnsi" w:eastAsiaTheme="minorHAnsi" w:hAnsiTheme="minorHAnsi" w:hint="eastAsia"/>
          <w:sz w:val="20"/>
          <w:szCs w:val="20"/>
        </w:rPr>
        <w:t>하고자 한다</w:t>
      </w:r>
      <w:r>
        <w:rPr>
          <w:rFonts w:asciiTheme="minorHAnsi" w:eastAsiaTheme="minorHAnsi" w:hAnsiTheme="minorHAnsi"/>
          <w:sz w:val="20"/>
          <w:szCs w:val="20"/>
        </w:rPr>
        <w:t>.</w:t>
      </w:r>
    </w:p>
    <w:p w14:paraId="71E7853E" w14:textId="77777777" w:rsidR="00520050" w:rsidRPr="005D3E2B" w:rsidRDefault="00190F51" w:rsidP="005D3E2B">
      <w:pPr>
        <w:pStyle w:val="3"/>
        <w:spacing w:after="160" w:line="360" w:lineRule="auto"/>
        <w:rPr>
          <w:rFonts w:asciiTheme="minorHAnsi" w:eastAsiaTheme="minorHAnsi" w:hAnsiTheme="minorHAnsi"/>
          <w:sz w:val="20"/>
          <w:szCs w:val="20"/>
        </w:rPr>
      </w:pPr>
      <w:r>
        <w:rPr>
          <w:rFonts w:asciiTheme="minorHAnsi" w:eastAsiaTheme="minorHAnsi" w:hAnsiTheme="minorHAnsi"/>
          <w:sz w:val="20"/>
          <w:szCs w:val="20"/>
        </w:rPr>
        <w:t>(2) 온체인 데이터를 활용한 스테이블코인 이상 탐지</w:t>
      </w:r>
    </w:p>
    <w:p w14:paraId="59EF9D5F" w14:textId="77777777" w:rsidR="00D41B31" w:rsidRPr="00A20CEA"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송아현·서의성·김희열(2025)은 이더리움 ERC-20 기반 USDT의 온체인 거래 데이터를 활용하여 이상 거래 패턴을 탐지하였다. 동 연구는 2021년부터 2025년까지의 시간 단위 데이터를 기반으로 전송량, 거래 수, 발행량, 소각량 등 주요 지표를 추출하고, Anomaly VAE-Transformer 모델을 적용하여 비지도학습 방식으로 이상 구간을 식별하였다.</w:t>
      </w:r>
    </w:p>
    <w:p w14:paraId="58753D79" w14:textId="77777777" w:rsidR="00D41B31" w:rsidRPr="00A20CEA" w:rsidRDefault="00D41B3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분석 결과, 2022년 6월 테라 사태 및 Celsius 위기 상황에서 대규모 USDT 소각이 발생하였으며, 2022년 12월 FTX 파산 이후에도 거래량 급증과 같은 이상 패턴이 관찰되었다. 이러한 이벤트는 본 연구의 이벤트 표본과 상당 부분 중복되며, 시장 충격이 온체인 활동의 변동으로 나타날 수 있음을 보여</w:t>
      </w:r>
      <w:r>
        <w:rPr>
          <w:rFonts w:asciiTheme="minorHAnsi" w:eastAsiaTheme="minorHAnsi" w:hAnsiTheme="minorHAnsi" w:hint="eastAsia"/>
          <w:sz w:val="20"/>
          <w:szCs w:val="20"/>
        </w:rPr>
        <w:t>주었다</w:t>
      </w:r>
      <w:r>
        <w:rPr>
          <w:rFonts w:asciiTheme="minorHAnsi" w:eastAsiaTheme="minorHAnsi" w:hAnsiTheme="minorHAnsi"/>
          <w:sz w:val="20"/>
          <w:szCs w:val="20"/>
        </w:rPr>
        <w:t>.</w:t>
      </w:r>
    </w:p>
    <w:p w14:paraId="24C41D61" w14:textId="77777777" w:rsidR="00D41B31" w:rsidRPr="005D3E2B" w:rsidRDefault="00D41B31" w:rsidP="00A20CEA">
      <w:pPr>
        <w:spacing w:line="360" w:lineRule="auto"/>
        <w:ind w:firstLineChars="100" w:firstLine="200"/>
        <w:rPr>
          <w:rFonts w:asciiTheme="minorHAnsi" w:eastAsiaTheme="minorHAnsi" w:hAnsiTheme="minorHAnsi"/>
          <w:b/>
          <w:bCs/>
          <w:sz w:val="20"/>
          <w:szCs w:val="20"/>
        </w:rPr>
      </w:pPr>
      <w:r>
        <w:rPr>
          <w:rFonts w:asciiTheme="minorHAnsi" w:eastAsiaTheme="minorHAnsi" w:hAnsiTheme="minorHAnsi"/>
          <w:sz w:val="20"/>
          <w:szCs w:val="20"/>
        </w:rPr>
        <w:t>동 연구가 온체인 데이터 기반의 이상 탐지에 초점을 맞춘 반면, 본 연구는 준비금 공시 및 규제 이벤트가 가격 수준의 누적비정상수익률(CAR)에 미치는 영향을 분석한다는 점에서 차별화된다. 따</w:t>
      </w:r>
      <w:r>
        <w:rPr>
          <w:rFonts w:asciiTheme="minorHAnsi" w:eastAsiaTheme="minorHAnsi" w:hAnsiTheme="minorHAnsi"/>
          <w:sz w:val="20"/>
          <w:szCs w:val="20"/>
        </w:rPr>
        <w:lastRenderedPageBreak/>
        <w:t>라서 두 접근법은 상호 보완적인 관계에 있으며, 본 연구에서 제안하는 온체인 데이터와 가격 반응을 결합한 확장 분석은 향후 스테이블코인 시장 반응을 보다 입체적으로 이해하는 데 기여할 수 있다.</w:t>
      </w:r>
    </w:p>
    <w:p w14:paraId="12A7E496"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3. 선행연구 검토 및 본 연구의 위치</w:t>
      </w:r>
    </w:p>
    <w:p w14:paraId="4DF919DF" w14:textId="77777777" w:rsidR="00D41B31" w:rsidRPr="005D3E2B" w:rsidRDefault="00D41B31"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위기 이벤트의 전파와 관련하여 Anadu et al.(2023)의 스트레스 테스트에 따르면 스테이블코인 가격이 1달러 아래로 하락할 경우 일일 환매 요구 비율이 증가하는 경향이 확인되었다. 또한 한국은행(2025)은 SVB 파산 당시 USDC 가격이 약 0.972달러까지 하락하고 시가총액의 약 18%에 해당하는 대규모 상환 요구가 발생하였음을 분석하며, 스테이블코인 시장에서 환매 압력이 비교적 빠르게 확대될 수 있음을 시사하였다.</w:t>
      </w:r>
    </w:p>
    <w:p w14:paraId="68624F82" w14:textId="25536420" w:rsidR="00D41B31" w:rsidRPr="005D3E2B" w:rsidRDefault="00D41B31"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&lt;표 1&gt;이 보여주듯, 선행연구들은 두 가지 중요한 연구 공백을 남기고 있다. 첫째, 법·정책 중심 연구는 규제 설계의 필요성과 방향성을 제시하고 한국은행(2025)과 같은 위기 사례 분석은 충격의 규모와 전파 경로를 밝히는 데 기여하였으나, 준비금 공시가 실제 시장가격에 미치는 영향을 계량적으로 검증하거나 공시 품질의 차이가 시장반응에 미치는 영향을 분리하여 분석하지는 못하였다. 둘째, 온체인 데이터 기반 연구는 이상 거래 및 네트워크 활동 패턴을 효과적으로 탐지하나, 공시 이벤트와 가격 반응 간의 직접적인 인과 관계를 실증적으로 분석하는 데에는 한계가 있</w:t>
      </w:r>
      <w:r w:rsidR="00D85248">
        <w:rPr>
          <w:rFonts w:asciiTheme="minorHAnsi" w:eastAsiaTheme="minorHAnsi" w:hAnsiTheme="minorHAnsi" w:hint="eastAsia"/>
          <w:sz w:val="20"/>
          <w:szCs w:val="20"/>
        </w:rPr>
        <w:t>었다.</w:t>
      </w:r>
    </w:p>
    <w:p w14:paraId="1E9123B7" w14:textId="77777777" w:rsidR="00520050" w:rsidRPr="005D3E2B" w:rsidRDefault="00D41B31"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이에 본 연구는 준비금 공시·감사·규제 이벤트를 대상으로 이벤트 연구 방법론을 적용하여, 공시 품질과 시장반응 간 관계를 실증적으로 분석함으로써 기존 문헌의 공백을 통합적으로 보완하고자 한다.</w:t>
      </w:r>
    </w:p>
    <w:p w14:paraId="4113F620"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&lt;표 1&gt; 선행연구 지형 및 본 연구의 위치</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2"/>
        <w:gridCol w:w="3643"/>
        <w:gridCol w:w="3643"/>
      </w:tblGrid>
      <w:tr w:rsidR="00520050" w:rsidRPr="005D3E2B" w14:paraId="53815938" w14:textId="77777777" w:rsidTr="005D3E2B">
        <w:trPr>
          <w:trHeight w:val="519"/>
        </w:trPr>
        <w:tc>
          <w:tcPr>
            <w:tcW w:w="1502"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35D610E1"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구분</w:t>
            </w:r>
          </w:p>
        </w:tc>
        <w:tc>
          <w:tcPr>
            <w:tcW w:w="3643"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705246C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주요 선행연구</w:t>
            </w:r>
          </w:p>
        </w:tc>
        <w:tc>
          <w:tcPr>
            <w:tcW w:w="3643"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1F712AB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본 연구와의 관계</w:t>
            </w:r>
          </w:p>
        </w:tc>
      </w:tr>
      <w:tr w:rsidR="00520050" w:rsidRPr="005D3E2B" w14:paraId="16061868" w14:textId="77777777" w:rsidTr="005D3E2B">
        <w:trPr>
          <w:trHeight w:val="2076"/>
        </w:trPr>
        <w:tc>
          <w:tcPr>
            <w:tcW w:w="150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4489AE7"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법규제 분석</w:t>
            </w:r>
          </w:p>
        </w:tc>
        <w:tc>
          <w:tcPr>
            <w:tcW w:w="364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06B566E"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심인숙(2021): USDT 준비금 허위표시 법적 분석; 허유경·최태은(2025): GENIUS Act; 송민채(2025): 주요국 법안 비교</w:t>
            </w:r>
          </w:p>
        </w:tc>
        <w:tc>
          <w:tcPr>
            <w:tcW w:w="364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0DF6A85"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이벤트 배경·정책 시사점의 이론적 기반; 본 연구는 이를 계량적으로 실증; 한국은행(2025)의 SVB 사례는 USDC 이상치 처리 근거로 활용</w:t>
            </w:r>
          </w:p>
        </w:tc>
      </w:tr>
      <w:tr w:rsidR="00520050" w:rsidRPr="005D3E2B" w14:paraId="2A56E986" w14:textId="77777777" w:rsidTr="005D3E2B">
        <w:trPr>
          <w:trHeight w:val="1038"/>
        </w:trPr>
        <w:tc>
          <w:tcPr>
            <w:tcW w:w="150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2E30815"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lastRenderedPageBreak/>
              <w:t>온체인 이상 탐지</w:t>
            </w:r>
          </w:p>
        </w:tc>
        <w:tc>
          <w:tcPr>
            <w:tcW w:w="364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AB9B261"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송아현 외(2025): USDT ERC-20 온체인 6피처, VAE-Transformer 비지도 이상 탐지</w:t>
            </w:r>
          </w:p>
        </w:tc>
        <w:tc>
          <w:tcPr>
            <w:tcW w:w="364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0FD23E6"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온체인 채널과 가격 채널의 보완 관계; 후속 연구 방향</w:t>
            </w:r>
          </w:p>
        </w:tc>
      </w:tr>
      <w:tr w:rsidR="00520050" w:rsidRPr="005D3E2B" w14:paraId="42083021" w14:textId="77777777" w:rsidTr="005D3E2B">
        <w:trPr>
          <w:trHeight w:val="1557"/>
        </w:trPr>
        <w:tc>
          <w:tcPr>
            <w:tcW w:w="150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4991A5"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시장 효율성</w:t>
            </w:r>
          </w:p>
        </w:tc>
        <w:tc>
          <w:tcPr>
            <w:tcW w:w="364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8654A39"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Bouri et al.(2018): 비트코인 수익률 전이; 조기정 외(2023): 김치프리미엄·USDT 시장기능</w:t>
            </w:r>
          </w:p>
        </w:tc>
        <w:tc>
          <w:tcPr>
            <w:tcW w:w="364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0DD3A0A"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H1 비유의성의 시장 마찰 배경 근거 제공</w:t>
            </w:r>
          </w:p>
        </w:tc>
      </w:tr>
      <w:tr w:rsidR="00520050" w:rsidRPr="005D3E2B" w14:paraId="568CB882" w14:textId="77777777" w:rsidTr="005D3E2B">
        <w:trPr>
          <w:trHeight w:val="1038"/>
        </w:trPr>
        <w:tc>
          <w:tcPr>
            <w:tcW w:w="1502" w:type="dxa"/>
            <w:tcBorders>
              <w:top w:val="single" w:sz="1" w:space="0" w:color="888888"/>
              <w:left w:val="single" w:sz="1" w:space="0" w:color="888888"/>
              <w:bottom w:val="single" w:sz="1" w:space="0" w:color="888888"/>
              <w:right w:val="single" w:sz="1" w:space="0" w:color="888888"/>
            </w:tcBorders>
            <w:shd w:val="clear" w:color="auto" w:fill="FFF2CC"/>
            <w:tcMar>
              <w:top w:w="60" w:type="dxa"/>
              <w:left w:w="100" w:type="dxa"/>
              <w:bottom w:w="60" w:type="dxa"/>
              <w:right w:w="100" w:type="dxa"/>
            </w:tcMar>
          </w:tcPr>
          <w:p w14:paraId="4F2B390E"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본 연구 기여</w:t>
            </w:r>
          </w:p>
        </w:tc>
        <w:tc>
          <w:tcPr>
            <w:tcW w:w="3643" w:type="dxa"/>
            <w:tcBorders>
              <w:top w:val="single" w:sz="1" w:space="0" w:color="888888"/>
              <w:left w:val="single" w:sz="1" w:space="0" w:color="888888"/>
              <w:bottom w:val="single" w:sz="1" w:space="0" w:color="888888"/>
              <w:right w:val="single" w:sz="1" w:space="0" w:color="888888"/>
            </w:tcBorders>
            <w:shd w:val="clear" w:color="auto" w:fill="FFF2CC"/>
            <w:tcMar>
              <w:top w:w="60" w:type="dxa"/>
              <w:left w:w="100" w:type="dxa"/>
              <w:bottom w:w="60" w:type="dxa"/>
              <w:right w:w="100" w:type="dxa"/>
            </w:tcMar>
          </w:tcPr>
          <w:p w14:paraId="4838B5F0"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준비금 공시·감사·규제 이벤트 27건 체계적 수집·분류; 공시 품질지수(1~5점) 개발</w:t>
            </w:r>
          </w:p>
        </w:tc>
        <w:tc>
          <w:tcPr>
            <w:tcW w:w="3643" w:type="dxa"/>
            <w:tcBorders>
              <w:top w:val="single" w:sz="1" w:space="0" w:color="888888"/>
              <w:left w:val="single" w:sz="1" w:space="0" w:color="888888"/>
              <w:bottom w:val="single" w:sz="1" w:space="0" w:color="888888"/>
              <w:right w:val="single" w:sz="1" w:space="0" w:color="888888"/>
            </w:tcBorders>
            <w:shd w:val="clear" w:color="auto" w:fill="FFF2CC"/>
            <w:tcMar>
              <w:top w:w="60" w:type="dxa"/>
              <w:left w:w="100" w:type="dxa"/>
              <w:bottom w:w="60" w:type="dxa"/>
              <w:right w:w="100" w:type="dxa"/>
            </w:tcMar>
          </w:tcPr>
          <w:p w14:paraId="42A88896"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국내외 초기의 체계적 이벤트 연구; 도피처 효과·구조적 취약성 동시 실증</w:t>
            </w:r>
          </w:p>
        </w:tc>
      </w:tr>
    </w:tbl>
    <w:p w14:paraId="6F8F4125" w14:textId="77777777" w:rsidR="00520050" w:rsidRPr="005D3E2B" w:rsidRDefault="00520050" w:rsidP="005D3E2B">
      <w:pPr>
        <w:spacing w:line="360" w:lineRule="auto"/>
        <w:rPr>
          <w:rFonts w:asciiTheme="minorHAnsi" w:eastAsiaTheme="minorHAnsi" w:hAnsiTheme="minorHAnsi"/>
          <w:sz w:val="20"/>
          <w:szCs w:val="20"/>
        </w:rPr>
      </w:pPr>
    </w:p>
    <w:p w14:paraId="65C31430"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4. 연구가설 설정</w:t>
      </w:r>
    </w:p>
    <w:p w14:paraId="07EA5713" w14:textId="77777777" w:rsidR="00520050" w:rsidRPr="005D3E2B" w:rsidRDefault="00190F51"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이상의 이론적 검토에 기반하여 다음 세 가지 연구가설을 설정한다.</w:t>
      </w:r>
    </w:p>
    <w:p w14:paraId="441B1B04"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가설 1(H1): 준비금 공시·규제·감사 이벤트는 USDT 및 USDC의 누적비정상수익률(CAR)이 0과 통계적으로 유의하게 다른 값을 갖도록 할 것이다.</w:t>
      </w:r>
    </w:p>
    <w:p w14:paraId="5EE83B3F" w14:textId="77777777" w:rsidR="00D254D6" w:rsidRPr="005D3E2B" w:rsidRDefault="00D254D6"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H1의 이론적 근거는 Spence(1973)의 신호 이론이다. 발행인의 자발적 고품질 공시는 정보 비대칭을 완화하여 시장에 신뢰 신호를 전달할 수 있다. 반면, 정기 분기 공시처럼 시장이 사전에 예측 가능한 이벤트의 경우 해당 정보가 이미 가격에 반영되어 유의한 CAR이 나타나지 않을 가능성도 존재한다(Ball &amp; Brown, 1968).</w:t>
      </w:r>
    </w:p>
    <w:p w14:paraId="0E35D514"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가설 2(H2): 공시 품질지수가 높은 이벤트일수록 긍정적인 CAR이 더 크게 나타날 것이다.</w:t>
      </w:r>
    </w:p>
    <w:p w14:paraId="423C170A" w14:textId="77777777" w:rsidR="00D254D6" w:rsidRPr="005D3E2B" w:rsidRDefault="00D254D6" w:rsidP="00A20CEA">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H2의 이론적 근거는 Akerlof(1970)의 정보 비대칭 이론이다. 다차원적 정보를 포함하는 고품질 공시는 역선택 문제를 보다 효과적으로 완화하여 투자자의 신뢰를 제고하고, 이에 따라 보다 긍정적인 시장반응을 유발할 것으로 예상된다.</w:t>
      </w:r>
    </w:p>
    <w:p w14:paraId="164CAC02"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 xml:space="preserve">가설 3(H3): 부정적 공시 이벤트는 긍정적 공시 이벤트에 비해 비대칭적인 시장반응을 나타낼 것이다. 단, USDT의 경우 시장 불확실성이 확대되는 상황에서 도피처 효과(flight-to-safety)가 일부 </w:t>
      </w:r>
      <w:r>
        <w:rPr>
          <w:rFonts w:asciiTheme="minorHAnsi" w:eastAsiaTheme="minorHAnsi" w:hAnsiTheme="minorHAnsi"/>
          <w:sz w:val="20"/>
          <w:szCs w:val="20"/>
        </w:rPr>
        <w:lastRenderedPageBreak/>
        <w:t>관찰될 수 있다.</w:t>
      </w:r>
    </w:p>
    <w:p w14:paraId="166F863F"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H3의 이론적 근거는 Kahneman &amp; Tversky(1979)의 손실회피 이론과 도피처 효과 개념이다. 부정적 정보는 긍정적 정보보다 더 크게 반영되는 경향이 있으며, 동시에 Anadu et al.(2023)이 보고한 바와 같이 스테이블코인 가격이 하락할 경우 환매 요구가 증가하는 반면, 시장 전반의 신뢰가 저하되는 상황에서는 특정 스테이블코인으로 자금이 이동하는 상반된 현상이 나타날 수 있다.</w:t>
      </w:r>
    </w:p>
    <w:p w14:paraId="4F7DD73B" w14:textId="77777777" w:rsidR="00520050" w:rsidRPr="005D3E2B" w:rsidRDefault="00520050" w:rsidP="005D3E2B">
      <w:pPr>
        <w:spacing w:line="360" w:lineRule="auto"/>
        <w:rPr>
          <w:rFonts w:asciiTheme="minorHAnsi" w:eastAsiaTheme="minorHAnsi" w:hAnsiTheme="minorHAnsi"/>
          <w:sz w:val="20"/>
          <w:szCs w:val="20"/>
        </w:rPr>
      </w:pPr>
    </w:p>
    <w:p w14:paraId="29B6E30D" w14:textId="77777777" w:rsidR="00520050" w:rsidRPr="005D3E2B" w:rsidRDefault="00190F51" w:rsidP="005D3E2B">
      <w:pPr>
        <w:pStyle w:val="1"/>
        <w:spacing w:line="360" w:lineRule="auto"/>
        <w:rPr>
          <w:rFonts w:asciiTheme="minorHAnsi" w:eastAsiaTheme="minorHAnsi" w:hAnsiTheme="minorHAnsi"/>
          <w:sz w:val="20"/>
          <w:szCs w:val="20"/>
        </w:rPr>
      </w:pPr>
      <w:r>
        <w:rPr>
          <w:rFonts w:asciiTheme="minorHAnsi" w:eastAsiaTheme="minorHAnsi" w:hAnsiTheme="minorHAnsi"/>
          <w:sz w:val="20"/>
          <w:szCs w:val="20"/>
        </w:rPr>
        <w:t>Ⅲ. 연구방법론</w:t>
      </w:r>
    </w:p>
    <w:p w14:paraId="683143C9"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1. 표본 구성 및 이벤트 선정</w:t>
      </w:r>
    </w:p>
    <w:p w14:paraId="45025C99" w14:textId="77777777" w:rsidR="00D254D6" w:rsidRPr="003613B2"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 xml:space="preserve">분석 대상은 2021년 1월부터 2024년 12월까지의 USDT 및 USDC 관련 준비금 공시, 규제 집행, 제3자 독립 증명, 규제 위기 이벤트이다. 이벤트는 Tether의 공식 투명성 보고서, Circle의 투명성 보고서, CFTC(2021) 공식 </w:t>
      </w:r>
      <w:r w:rsidRPr="003613B2">
        <w:rPr>
          <w:rFonts w:asciiTheme="minorHAnsi" w:eastAsiaTheme="minorHAnsi" w:hAnsiTheme="minorHAnsi"/>
          <w:sz w:val="20"/>
          <w:szCs w:val="20"/>
        </w:rPr>
        <w:t>보도자료, FTX 파산 관련 법원 서류(Kroll 관재인)</w:t>
      </w:r>
      <w:r w:rsidRPr="003613B2">
        <w:rPr>
          <w:vertAlign w:val="superscript"/>
        </w:rPr>
        <w:footnoteReference w:id="4"/>
      </w:r>
      <w:r w:rsidRPr="003613B2">
        <w:rPr>
          <w:rFonts w:asciiTheme="minorHAnsi" w:eastAsiaTheme="minorHAnsi" w:hAnsiTheme="minorHAnsi"/>
          <w:sz w:val="20"/>
          <w:szCs w:val="20"/>
        </w:rPr>
        <w:t>, FDIC(2023) 보도자료 등 1차 출처를 기준으로 수집하였다.</w:t>
      </w:r>
    </w:p>
    <w:p w14:paraId="06A7269D"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sidRPr="003613B2">
        <w:rPr>
          <w:rFonts w:asciiTheme="minorHAnsi" w:eastAsiaTheme="minorHAnsi" w:hAnsiTheme="minorHAnsi"/>
          <w:sz w:val="20"/>
          <w:szCs w:val="20"/>
        </w:rPr>
        <w:t>이벤트창 간 오염(cross-event contamination)을 방지하기 위해, 두 이벤트가 21일(이벤트창 크기) 이내에 연속 발생한 경우 분석 중요성이 상대적으로 낮은 이벤트를 제거하였다. 이에 따라 USDT Bloomberg 보도(2021-10-07, 선행 이벤트와 이벤트창 14일 중첩)</w:t>
      </w:r>
      <w:r w:rsidRPr="003613B2">
        <w:rPr>
          <w:vertAlign w:val="superscript"/>
        </w:rPr>
        <w:footnoteReference w:id="5"/>
      </w:r>
      <w:r w:rsidRPr="003613B2">
        <w:rPr>
          <w:rFonts w:asciiTheme="minorHAnsi" w:eastAsiaTheme="minorHAnsi" w:hAnsiTheme="minorHAnsi"/>
          <w:sz w:val="20"/>
          <w:szCs w:val="20"/>
        </w:rPr>
        <w:t>와 USDC 패그 회복 이벤트(2023-03-13, SVB 파산 이벤트와 이벤트창 18일 중첩)</w:t>
      </w:r>
      <w:r w:rsidRPr="003613B2">
        <w:rPr>
          <w:vertAlign w:val="superscript"/>
        </w:rPr>
        <w:footnoteReference w:id="6"/>
      </w:r>
      <w:r w:rsidRPr="003613B2">
        <w:rPr>
          <w:rFonts w:asciiTheme="minorHAnsi" w:eastAsiaTheme="minorHAnsi" w:hAnsiTheme="minorHAnsi"/>
          <w:sz w:val="20"/>
          <w:szCs w:val="20"/>
        </w:rPr>
        <w:t xml:space="preserve"> 를 제외하였다. 또한 </w:t>
      </w:r>
      <w:r>
        <w:rPr>
          <w:rFonts w:asciiTheme="minorHAnsi" w:eastAsiaTheme="minorHAnsi" w:hAnsiTheme="minorHAnsi"/>
          <w:sz w:val="20"/>
          <w:szCs w:val="20"/>
        </w:rPr>
        <w:t>추정창 최소 관측치(50일)를 충족하지 못한 1건(USDC 2021-01-31)도 분석에서 제외하였다. 최종 분석 이벤트는 USDT 19건, USDC 8건으로 총 27건이다.</w:t>
      </w:r>
    </w:p>
    <w:p w14:paraId="5580FE05" w14:textId="77777777" w:rsidR="00520050" w:rsidRPr="005D3E2B" w:rsidRDefault="00520050" w:rsidP="005D3E2B">
      <w:pPr>
        <w:spacing w:line="360" w:lineRule="auto"/>
        <w:rPr>
          <w:rFonts w:asciiTheme="minorHAnsi" w:eastAsiaTheme="minorHAnsi" w:hAnsiTheme="minorHAnsi"/>
          <w:sz w:val="20"/>
          <w:szCs w:val="20"/>
        </w:rPr>
      </w:pPr>
    </w:p>
    <w:p w14:paraId="509DED5E"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&lt;표 2&gt; 분석 이벤트 구성</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842"/>
        <w:gridCol w:w="842"/>
        <w:gridCol w:w="842"/>
        <w:gridCol w:w="5203"/>
      </w:tblGrid>
      <w:tr w:rsidR="00520050" w:rsidRPr="005D3E2B" w14:paraId="5F13BBEA" w14:textId="77777777" w:rsidTr="005D3E2B">
        <w:trPr>
          <w:trHeight w:val="505"/>
        </w:trPr>
        <w:tc>
          <w:tcPr>
            <w:tcW w:w="1029"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5A80A09"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코인</w:t>
            </w:r>
          </w:p>
        </w:tc>
        <w:tc>
          <w:tcPr>
            <w:tcW w:w="842"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2A95E1C6"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긍정</w:t>
            </w:r>
          </w:p>
        </w:tc>
        <w:tc>
          <w:tcPr>
            <w:tcW w:w="842"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3032EF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중립</w:t>
            </w:r>
          </w:p>
        </w:tc>
        <w:tc>
          <w:tcPr>
            <w:tcW w:w="842"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3C2E7361"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부정</w:t>
            </w:r>
          </w:p>
        </w:tc>
        <w:tc>
          <w:tcPr>
            <w:tcW w:w="5203"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D0D376A"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주요 이벤트 유형</w:t>
            </w:r>
          </w:p>
        </w:tc>
      </w:tr>
      <w:tr w:rsidR="00520050" w:rsidRPr="005D3E2B" w14:paraId="7AE7095B" w14:textId="77777777" w:rsidTr="005D3E2B">
        <w:trPr>
          <w:trHeight w:val="1011"/>
        </w:trPr>
        <w:tc>
          <w:tcPr>
            <w:tcW w:w="102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31CFB1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USDT</w:t>
            </w:r>
          </w:p>
        </w:tc>
        <w:tc>
          <w:tcPr>
            <w:tcW w:w="84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9DA7215"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10</w:t>
            </w:r>
          </w:p>
        </w:tc>
        <w:tc>
          <w:tcPr>
            <w:tcW w:w="84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C5774B5"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7</w:t>
            </w:r>
          </w:p>
        </w:tc>
        <w:tc>
          <w:tcPr>
            <w:tcW w:w="84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2251ED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w:t>
            </w:r>
          </w:p>
        </w:tc>
        <w:tc>
          <w:tcPr>
            <w:tcW w:w="520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1DFFB1"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분기 증명보고서, BDO 감사 도입, CFTC 벌금(2021-10), FTX 파산(2022-11)</w:t>
            </w:r>
          </w:p>
        </w:tc>
      </w:tr>
      <w:tr w:rsidR="00520050" w:rsidRPr="005D3E2B" w14:paraId="1EFEBAF4" w14:textId="77777777" w:rsidTr="005D3E2B">
        <w:trPr>
          <w:trHeight w:val="1011"/>
        </w:trPr>
        <w:tc>
          <w:tcPr>
            <w:tcW w:w="102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C5EE305"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USDC</w:t>
            </w:r>
          </w:p>
        </w:tc>
        <w:tc>
          <w:tcPr>
            <w:tcW w:w="84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F37ED24"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7</w:t>
            </w:r>
          </w:p>
        </w:tc>
        <w:tc>
          <w:tcPr>
            <w:tcW w:w="84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F914C02"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w:t>
            </w:r>
          </w:p>
        </w:tc>
        <w:tc>
          <w:tcPr>
            <w:tcW w:w="84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41D989B"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w:t>
            </w:r>
          </w:p>
        </w:tc>
        <w:tc>
          <w:tcPr>
            <w:tcW w:w="520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E744EC6"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Grant Thornton·Deloitte 감사, SVB 파산(2023-03-10), Circle 준비금 선언</w:t>
            </w:r>
          </w:p>
        </w:tc>
      </w:tr>
      <w:tr w:rsidR="00520050" w:rsidRPr="005D3E2B" w14:paraId="35AB9EC4" w14:textId="77777777" w:rsidTr="005D3E2B">
        <w:trPr>
          <w:trHeight w:val="505"/>
        </w:trPr>
        <w:tc>
          <w:tcPr>
            <w:tcW w:w="102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D56DEE2"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합계</w:t>
            </w:r>
          </w:p>
        </w:tc>
        <w:tc>
          <w:tcPr>
            <w:tcW w:w="84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8B15F7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17</w:t>
            </w:r>
          </w:p>
        </w:tc>
        <w:tc>
          <w:tcPr>
            <w:tcW w:w="84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7A735A3"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7</w:t>
            </w:r>
          </w:p>
        </w:tc>
        <w:tc>
          <w:tcPr>
            <w:tcW w:w="84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4C1820F"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3</w:t>
            </w:r>
          </w:p>
        </w:tc>
        <w:tc>
          <w:tcPr>
            <w:tcW w:w="520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EA75D1B"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2021.01~2024.12 (총 27건)</w:t>
            </w:r>
          </w:p>
        </w:tc>
      </w:tr>
    </w:tbl>
    <w:p w14:paraId="13F68366" w14:textId="77777777" w:rsidR="00D254D6" w:rsidRPr="005D3E2B" w:rsidRDefault="00D254D6" w:rsidP="005D3E2B">
      <w:pPr>
        <w:spacing w:line="360" w:lineRule="auto"/>
        <w:rPr>
          <w:rFonts w:asciiTheme="minorHAnsi" w:eastAsiaTheme="minorHAnsi" w:hAnsiTheme="minorHAnsi"/>
          <w:sz w:val="18"/>
          <w:szCs w:val="18"/>
        </w:rPr>
      </w:pPr>
      <w:r>
        <w:rPr>
          <w:rFonts w:asciiTheme="minorHAnsi" w:eastAsiaTheme="minorHAnsi" w:hAnsiTheme="minorHAnsi"/>
          <w:sz w:val="18"/>
          <w:szCs w:val="18"/>
        </w:rPr>
        <w:t>주: 이벤트창 오염 이벤트 2건(USDT 2021-10-07, USDC 2023-03-13)과 추정창 부족 1건(USDC 2021-01-31)을 제외하였다.</w:t>
      </w:r>
    </w:p>
    <w:p w14:paraId="731B8A63" w14:textId="77777777" w:rsidR="00520050" w:rsidRPr="005D3E2B" w:rsidRDefault="00520050" w:rsidP="005D3E2B">
      <w:pPr>
        <w:spacing w:line="360" w:lineRule="auto"/>
        <w:rPr>
          <w:rFonts w:asciiTheme="minorHAnsi" w:eastAsiaTheme="minorHAnsi" w:hAnsiTheme="minorHAnsi"/>
          <w:sz w:val="20"/>
          <w:szCs w:val="20"/>
        </w:rPr>
      </w:pPr>
    </w:p>
    <w:p w14:paraId="0298E9DC"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2. 공시 품질지수</w:t>
      </w:r>
    </w:p>
    <w:p w14:paraId="3F5053FF" w14:textId="77777777" w:rsidR="00D254D6" w:rsidRPr="00302543" w:rsidRDefault="00D254D6" w:rsidP="00302543">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각 이벤트의 공시 품질을 정량화하기 위해 4개 기준의 합산으로 구성된 공시 품질지수(quality score)를 개발하였다. 구체적 기준은 ① 준비금 총액 공시 여부(amt), ② 준비금 자산 구성 공시 여부(composition), ③ 자산별 세부 발행사 및 만기 공시 여부(detail), ④ 제3자 독립 증명 여부(audit)이다. 각 기준 충족 시 1점을 부여하고, 점수 해석의 직관성을 높이기 위해 1을 가산하여 총 1점(모든 기준 미충족)부터 5점(모든 기준 충족)까지의 지수로 산출하였다.</w:t>
      </w:r>
    </w:p>
    <w:p w14:paraId="07B32486" w14:textId="77777777" w:rsidR="00D254D6" w:rsidRPr="00302543" w:rsidRDefault="00D254D6" w:rsidP="00302543">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Tether의 공시 품질지수는 2021년 1~2점 수준에서 시작하여 2023년 이후 5점으로 상승하였으며, Circle은 2022년 이후 대체로 5점을 유지하였다.</w:t>
      </w:r>
    </w:p>
    <w:p w14:paraId="7E8CECB6"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3. 시장모형 추정과 CAR 산출</w:t>
      </w:r>
    </w:p>
    <w:p w14:paraId="7F61FF9E" w14:textId="77777777" w:rsidR="00D254D6" w:rsidRPr="005D3E2B" w:rsidRDefault="00D254D6" w:rsidP="00302543">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 xml:space="preserve">비정상수익률(AR) 산출을 위해 비트코인 일별 로그수익률을 암호자산 시장의 벤치마크로 사용하는 시장모형(market model)을 적용하였다. USDT와 BTC의 상관계수는 r=0.037로 매우 낮게 나타나, 추정된 CAR이 비트코인과의 기계적 동행성보다는 이벤트 고유 충격을 더 반영할 가능성을 </w:t>
      </w:r>
      <w:r>
        <w:rPr>
          <w:rFonts w:asciiTheme="minorHAnsi" w:eastAsiaTheme="minorHAnsi" w:hAnsiTheme="minorHAnsi"/>
          <w:sz w:val="20"/>
          <w:szCs w:val="20"/>
        </w:rPr>
        <w:lastRenderedPageBreak/>
        <w:t>시사한다.</w:t>
      </w:r>
    </w:p>
    <w:p w14:paraId="6D985A30" w14:textId="77777777" w:rsidR="00D254D6" w:rsidRPr="005D3E2B" w:rsidRDefault="00D254D6" w:rsidP="00302543">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추정창은 이벤트일(t</w:t>
      </w:r>
      <w:r>
        <w:rPr>
          <w:rFonts w:ascii="Cambria Math" w:eastAsiaTheme="minorHAnsi" w:hAnsi="Cambria Math" w:cs="Cambria Math"/>
          <w:sz w:val="20"/>
          <w:szCs w:val="20"/>
        </w:rPr>
        <w:t>₀</w:t>
      </w:r>
      <w:r>
        <w:rPr>
          <w:rFonts w:asciiTheme="minorHAnsi" w:eastAsiaTheme="minorHAnsi" w:hAnsiTheme="minorHAnsi"/>
          <w:sz w:val="20"/>
          <w:szCs w:val="20"/>
        </w:rPr>
        <w:t>) 기준 [</w:t>
      </w:r>
      <w:r>
        <w:rPr>
          <w:rFonts w:ascii="Cambria Math" w:eastAsiaTheme="minorHAnsi" w:hAnsi="Cambria Math" w:cs="Cambria Math"/>
          <w:sz w:val="20"/>
          <w:szCs w:val="20"/>
        </w:rPr>
        <w:t>−</w:t>
      </w:r>
      <w:r>
        <w:rPr>
          <w:rFonts w:asciiTheme="minorHAnsi" w:eastAsiaTheme="minorHAnsi" w:hAnsiTheme="minorHAnsi"/>
          <w:sz w:val="20"/>
          <w:szCs w:val="20"/>
        </w:rPr>
        <w:t xml:space="preserve">250, </w:t>
      </w:r>
      <w:r>
        <w:rPr>
          <w:rFonts w:ascii="Cambria Math" w:eastAsiaTheme="minorHAnsi" w:hAnsi="Cambria Math" w:cs="Cambria Math"/>
          <w:sz w:val="20"/>
          <w:szCs w:val="20"/>
        </w:rPr>
        <w:t>−</w:t>
      </w:r>
      <w:r>
        <w:rPr>
          <w:rFonts w:asciiTheme="minorHAnsi" w:eastAsiaTheme="minorHAnsi" w:hAnsiTheme="minorHAnsi"/>
          <w:sz w:val="20"/>
          <w:szCs w:val="20"/>
        </w:rPr>
        <w:t>11]일로 설정하였으며, 표준오차는 HAC(Newey-West) 방식으로 동적으로 적용하였다(maxlags = min(5, N÷3)). 이벤트창은 [</w:t>
      </w:r>
      <w:r>
        <w:rPr>
          <w:rFonts w:ascii="Cambria Math" w:eastAsiaTheme="minorHAnsi" w:hAnsi="Cambria Math" w:cs="Cambria Math"/>
          <w:sz w:val="20"/>
          <w:szCs w:val="20"/>
        </w:rPr>
        <w:t>−</w:t>
      </w:r>
      <w:r>
        <w:rPr>
          <w:rFonts w:asciiTheme="minorHAnsi" w:eastAsiaTheme="minorHAnsi" w:hAnsiTheme="minorHAnsi"/>
          <w:sz w:val="20"/>
          <w:szCs w:val="20"/>
        </w:rPr>
        <w:t>10, +10]일로 설정하고, 주 분석 창은 CAR(</w:t>
      </w:r>
      <w:r>
        <w:rPr>
          <w:rFonts w:ascii="Cambria Math" w:eastAsiaTheme="minorHAnsi" w:hAnsi="Cambria Math" w:cs="Cambria Math"/>
          <w:sz w:val="20"/>
          <w:szCs w:val="20"/>
        </w:rPr>
        <w:t>−</w:t>
      </w:r>
      <w:r>
        <w:rPr>
          <w:rFonts w:asciiTheme="minorHAnsi" w:eastAsiaTheme="minorHAnsi" w:hAnsiTheme="minorHAnsi"/>
          <w:sz w:val="20"/>
          <w:szCs w:val="20"/>
        </w:rPr>
        <w:t>5,+5)로 선정하였다. 이는 후보 이벤트창인 CAR(</w:t>
      </w:r>
      <w:r>
        <w:rPr>
          <w:rFonts w:ascii="Cambria Math" w:eastAsiaTheme="minorHAnsi" w:hAnsi="Cambria Math" w:cs="Cambria Math"/>
          <w:sz w:val="20"/>
          <w:szCs w:val="20"/>
        </w:rPr>
        <w:t>−</w:t>
      </w:r>
      <w:r>
        <w:rPr>
          <w:rFonts w:asciiTheme="minorHAnsi" w:eastAsiaTheme="minorHAnsi" w:hAnsiTheme="minorHAnsi"/>
          <w:sz w:val="20"/>
          <w:szCs w:val="20"/>
        </w:rPr>
        <w:t>1,+1), CAR(</w:t>
      </w:r>
      <w:r>
        <w:rPr>
          <w:rFonts w:ascii="Cambria Math" w:eastAsiaTheme="minorHAnsi" w:hAnsi="Cambria Math" w:cs="Cambria Math"/>
          <w:sz w:val="20"/>
          <w:szCs w:val="20"/>
        </w:rPr>
        <w:t>−</w:t>
      </w:r>
      <w:r>
        <w:rPr>
          <w:rFonts w:asciiTheme="minorHAnsi" w:eastAsiaTheme="minorHAnsi" w:hAnsiTheme="minorHAnsi"/>
          <w:sz w:val="20"/>
          <w:szCs w:val="20"/>
        </w:rPr>
        <w:t>3,+3), CAR(</w:t>
      </w:r>
      <w:r>
        <w:rPr>
          <w:rFonts w:ascii="Cambria Math" w:eastAsiaTheme="minorHAnsi" w:hAnsi="Cambria Math" w:cs="Cambria Math"/>
          <w:sz w:val="20"/>
          <w:szCs w:val="20"/>
        </w:rPr>
        <w:t>−</w:t>
      </w:r>
      <w:r>
        <w:rPr>
          <w:rFonts w:asciiTheme="minorHAnsi" w:eastAsiaTheme="minorHAnsi" w:hAnsiTheme="minorHAnsi"/>
          <w:sz w:val="20"/>
          <w:szCs w:val="20"/>
        </w:rPr>
        <w:t>5,+5) 중 잔차 정규성 검정을 유일하게 통과한 창이기 때문이다(Shapiro-Wilk p=0.625, Jarque-Bera p=0.796). 반면 CAR(</w:t>
      </w:r>
      <w:r>
        <w:rPr>
          <w:rFonts w:ascii="Cambria Math" w:eastAsiaTheme="minorHAnsi" w:hAnsi="Cambria Math" w:cs="Cambria Math"/>
          <w:sz w:val="20"/>
          <w:szCs w:val="20"/>
        </w:rPr>
        <w:t>−</w:t>
      </w:r>
      <w:r>
        <w:rPr>
          <w:rFonts w:asciiTheme="minorHAnsi" w:eastAsiaTheme="minorHAnsi" w:hAnsiTheme="minorHAnsi"/>
          <w:sz w:val="20"/>
          <w:szCs w:val="20"/>
        </w:rPr>
        <w:t>1,+1)은 SVB 이상치의 영향으로 극단적 비정규성(Jarque-Bera p=9.6×10</w:t>
      </w:r>
      <w:r>
        <w:rPr>
          <w:rFonts w:ascii="Cambria Math" w:eastAsiaTheme="minorHAnsi" w:hAnsi="Cambria Math" w:cs="Cambria Math"/>
          <w:sz w:val="20"/>
          <w:szCs w:val="20"/>
        </w:rPr>
        <w:t>⁻</w:t>
      </w:r>
      <w:r>
        <w:rPr>
          <w:rFonts w:asciiTheme="minorHAnsi" w:eastAsiaTheme="minorHAnsi" w:hAnsiTheme="minorHAnsi" w:cs="맑은 고딕" w:hint="eastAsia"/>
          <w:sz w:val="20"/>
          <w:szCs w:val="20"/>
        </w:rPr>
        <w:t>¹</w:t>
      </w:r>
      <w:r>
        <w:rPr>
          <w:rFonts w:ascii="Cambria Math" w:eastAsiaTheme="minorHAnsi" w:hAnsi="Cambria Math" w:cs="Cambria Math"/>
          <w:sz w:val="20"/>
          <w:szCs w:val="20"/>
        </w:rPr>
        <w:t>⁶</w:t>
      </w:r>
      <w:r>
        <w:rPr>
          <w:rFonts w:asciiTheme="minorHAnsi" w:eastAsiaTheme="minorHAnsi" w:hAnsiTheme="minorHAnsi"/>
          <w:sz w:val="20"/>
          <w:szCs w:val="20"/>
        </w:rPr>
        <w:t>, 첨도=10.1)이 확인되어 주 분석 창에서 제외하였다.</w:t>
      </w:r>
    </w:p>
    <w:p w14:paraId="08C8E524" w14:textId="77777777" w:rsidR="00D254D6" w:rsidRPr="005D3E2B" w:rsidRDefault="003516BE" w:rsidP="005D3E2B">
      <w:pPr>
        <w:spacing w:after="80" w:line="360" w:lineRule="auto"/>
        <w:jc w:val="both"/>
        <w:rPr>
          <w:rFonts w:asciiTheme="minorHAnsi" w:eastAsiaTheme="minorHAnsi" w:hAnsiTheme="minorHAnsi"/>
          <w:sz w:val="20"/>
          <w:szCs w:val="20"/>
        </w:rPr>
      </w:pPr>
      <m:oMathPara>
        <m:oMath>
          <m:m>
            <m:mPr>
              <m:plcHide m:val="1"/>
              <m:mcs>
                <m:mc>
                  <m:mcPr>
                    <m:count m:val="4"/>
                    <m:mcJc m:val="center"/>
                  </m:mcPr>
                </m:mc>
              </m:mcs>
              <m:ctrlPr>
                <w:rPr>
                  <w:rFonts w:ascii="Cambria Math" w:eastAsiaTheme="minorHAnsi" w:hAnsi="Cambria Math"/>
                  <w:sz w:val="20"/>
                  <w:szCs w:val="20"/>
                </w:rPr>
              </m:ctrlPr>
            </m:mPr>
            <m:mr>
              <m:e/>
              <m:e>
                <m:r>
                  <w:rPr>
                    <w:rFonts w:ascii="Cambria Math" w:eastAsiaTheme="minorHAnsi" w:hAnsi="Cambria Math"/>
                    <w:sz w:val="20"/>
                    <w:szCs w:val="20"/>
                  </w:rPr>
                  <m:t>A</m:t>
                </m:r>
                <m:sSub>
                  <m:sSubPr>
                    <m:ctrlPr>
                      <w:rPr>
                        <w:rFonts w:ascii="Cambria Math" w:eastAsiaTheme="minorHAnsi" w:hAnsi="Cambria Math"/>
                        <w:sz w:val="20"/>
                        <w:szCs w:val="20"/>
                      </w:rPr>
                    </m:ctrlPr>
                  </m:sSubPr>
                  <m:e>
                    <m:r>
                      <w:rPr>
                        <w:rFonts w:ascii="Cambria Math" w:eastAsiaTheme="minorHAnsi" w:hAnsi="Cambria Math"/>
                        <w:sz w:val="20"/>
                        <w:szCs w:val="20"/>
                      </w:rPr>
                      <m:t>R</m:t>
                    </m:r>
                  </m:e>
                  <m:sub>
                    <m:r>
                      <w:rPr>
                        <w:rFonts w:ascii="Cambria Math" w:eastAsiaTheme="minorHAnsi" w:hAnsi="Cambria Math"/>
                        <w:sz w:val="20"/>
                        <w:szCs w:val="20"/>
                      </w:rPr>
                      <m:t>i,t</m:t>
                    </m:r>
                  </m:sub>
                </m:sSub>
                <m:r>
                  <w:rPr>
                    <w:rFonts w:ascii="Cambria Math" w:eastAsiaTheme="minorHAnsi" w:hAnsi="Cambria Math"/>
                    <w:sz w:val="20"/>
                    <w:szCs w:val="20"/>
                  </w:rPr>
                  <m:t>=</m:t>
                </m:r>
                <m:sSub>
                  <m:sSubPr>
                    <m:ctrlPr>
                      <w:rPr>
                        <w:rFonts w:ascii="Cambria Math" w:eastAsiaTheme="minorHAnsi" w:hAnsi="Cambria Math"/>
                        <w:sz w:val="20"/>
                        <w:szCs w:val="20"/>
                      </w:rPr>
                    </m:ctrlPr>
                  </m:sSubPr>
                  <m:e>
                    <m:r>
                      <w:rPr>
                        <w:rFonts w:ascii="Cambria Math" w:eastAsiaTheme="minorHAnsi" w:hAnsi="Cambria Math"/>
                        <w:sz w:val="20"/>
                        <w:szCs w:val="20"/>
                      </w:rPr>
                      <m:t>R</m:t>
                    </m:r>
                  </m:e>
                  <m:sub>
                    <m:r>
                      <w:rPr>
                        <w:rFonts w:ascii="Cambria Math" w:eastAsiaTheme="minorHAnsi" w:hAnsi="Cambria Math"/>
                        <w:sz w:val="20"/>
                        <w:szCs w:val="20"/>
                      </w:rPr>
                      <m:t>i,t</m:t>
                    </m:r>
                  </m:sub>
                </m:sSub>
                <m:r>
                  <w:rPr>
                    <w:rFonts w:ascii="Cambria Math" w:eastAsiaTheme="minorHAnsi" w:hAnsi="Cambria Math"/>
                    <w:sz w:val="20"/>
                    <w:szCs w:val="20"/>
                  </w:rPr>
                  <m:t>-(</m:t>
                </m:r>
                <m:sSub>
                  <m:sSubPr>
                    <m:ctrlPr>
                      <w:rPr>
                        <w:rFonts w:ascii="Cambria Math" w:eastAsiaTheme="minorHAnsi" w:hAnsi="Cambria Math"/>
                        <w:sz w:val="20"/>
                        <w:szCs w:val="20"/>
                      </w:rPr>
                    </m:ctrlPr>
                  </m:sSubPr>
                  <m:e>
                    <m:acc>
                      <m:accPr>
                        <m:ctrlPr>
                          <w:rPr>
                            <w:rFonts w:ascii="Cambria Math" w:eastAsiaTheme="minorHAnsi" w:hAnsi="Cambria Math"/>
                            <w:sz w:val="20"/>
                            <w:szCs w:val="20"/>
                          </w:rPr>
                        </m:ctrlPr>
                      </m:accPr>
                      <m:e>
                        <m:r>
                          <w:rPr>
                            <w:rFonts w:ascii="Cambria Math" w:eastAsiaTheme="minorHAnsi" w:hAnsi="Cambria Math"/>
                            <w:sz w:val="20"/>
                            <w:szCs w:val="20"/>
                          </w:rPr>
                          <m:t>α</m:t>
                        </m:r>
                      </m:e>
                    </m:acc>
                  </m:e>
                  <m:sub>
                    <m:r>
                      <w:rPr>
                        <w:rFonts w:ascii="Cambria Math" w:eastAsiaTheme="minorHAnsi" w:hAnsi="Cambria Math"/>
                        <w:sz w:val="20"/>
                        <w:szCs w:val="20"/>
                      </w:rPr>
                      <m:t>i</m:t>
                    </m:r>
                  </m:sub>
                </m:sSub>
                <m:r>
                  <w:rPr>
                    <w:rFonts w:ascii="Cambria Math" w:eastAsiaTheme="minorHAnsi" w:hAnsi="Cambria Math"/>
                    <w:sz w:val="20"/>
                    <w:szCs w:val="20"/>
                  </w:rPr>
                  <m:t>+</m:t>
                </m:r>
                <m:sSub>
                  <m:sSubPr>
                    <m:ctrlPr>
                      <w:rPr>
                        <w:rFonts w:ascii="Cambria Math" w:eastAsiaTheme="minorHAnsi" w:hAnsi="Cambria Math"/>
                        <w:sz w:val="20"/>
                        <w:szCs w:val="20"/>
                      </w:rPr>
                    </m:ctrlPr>
                  </m:sSubPr>
                  <m:e>
                    <m:acc>
                      <m:accPr>
                        <m:ctrlPr>
                          <w:rPr>
                            <w:rFonts w:ascii="Cambria Math" w:eastAsiaTheme="minorHAnsi" w:hAnsi="Cambria Math"/>
                            <w:sz w:val="20"/>
                            <w:szCs w:val="20"/>
                          </w:rPr>
                        </m:ctrlPr>
                      </m:accPr>
                      <m:e>
                        <m:r>
                          <w:rPr>
                            <w:rFonts w:ascii="Cambria Math" w:eastAsiaTheme="minorHAnsi" w:hAnsi="Cambria Math"/>
                            <w:sz w:val="20"/>
                            <w:szCs w:val="20"/>
                          </w:rPr>
                          <m:t>β</m:t>
                        </m:r>
                      </m:e>
                    </m:acc>
                  </m:e>
                  <m:sub>
                    <m:r>
                      <w:rPr>
                        <w:rFonts w:ascii="Cambria Math" w:eastAsiaTheme="minorHAnsi" w:hAnsi="Cambria Math"/>
                        <w:sz w:val="20"/>
                        <w:szCs w:val="20"/>
                      </w:rPr>
                      <m:t>i</m:t>
                    </m:r>
                  </m:sub>
                </m:sSub>
                <m:sSub>
                  <m:sSubPr>
                    <m:ctrlPr>
                      <w:rPr>
                        <w:rFonts w:ascii="Cambria Math" w:eastAsiaTheme="minorHAnsi" w:hAnsi="Cambria Math"/>
                        <w:sz w:val="20"/>
                        <w:szCs w:val="20"/>
                      </w:rPr>
                    </m:ctrlPr>
                  </m:sSubPr>
                  <m:e>
                    <m:r>
                      <w:rPr>
                        <w:rFonts w:ascii="Cambria Math" w:eastAsiaTheme="minorHAnsi" w:hAnsi="Cambria Math"/>
                        <w:sz w:val="20"/>
                        <w:szCs w:val="20"/>
                      </w:rPr>
                      <m:t>R</m:t>
                    </m:r>
                  </m:e>
                  <m:sub>
                    <m:r>
                      <w:rPr>
                        <w:rFonts w:ascii="Cambria Math" w:eastAsiaTheme="minorHAnsi" w:hAnsi="Cambria Math"/>
                        <w:sz w:val="20"/>
                        <w:szCs w:val="20"/>
                      </w:rPr>
                      <m:t>m,t</m:t>
                    </m:r>
                  </m:sub>
                </m:sSub>
                <m:r>
                  <w:rPr>
                    <w:rFonts w:ascii="Cambria Math" w:eastAsiaTheme="minorHAnsi" w:hAnsi="Cambria Math"/>
                    <w:sz w:val="20"/>
                    <w:szCs w:val="20"/>
                  </w:rPr>
                  <m:t>),CA</m:t>
                </m:r>
                <m:sSub>
                  <m:sSubPr>
                    <m:ctrlPr>
                      <w:rPr>
                        <w:rFonts w:ascii="Cambria Math" w:eastAsiaTheme="minorHAnsi" w:hAnsi="Cambria Math"/>
                        <w:sz w:val="20"/>
                        <w:szCs w:val="20"/>
                      </w:rPr>
                    </m:ctrlPr>
                  </m:sSubPr>
                  <m:e>
                    <m:r>
                      <w:rPr>
                        <w:rFonts w:ascii="Cambria Math" w:eastAsiaTheme="minorHAnsi" w:hAnsi="Cambria Math"/>
                        <w:sz w:val="20"/>
                        <w:szCs w:val="20"/>
                      </w:rPr>
                      <m:t>R</m:t>
                    </m:r>
                  </m:e>
                  <m:sub>
                    <m:r>
                      <w:rPr>
                        <w:rFonts w:ascii="Cambria Math" w:eastAsiaTheme="minorHAnsi" w:hAnsi="Cambria Math"/>
                        <w:sz w:val="20"/>
                        <w:szCs w:val="20"/>
                      </w:rPr>
                      <m:t>i</m:t>
                    </m:r>
                  </m:sub>
                </m:sSub>
                <m:r>
                  <w:rPr>
                    <w:rFonts w:ascii="Cambria Math" w:eastAsiaTheme="minorHAnsi" w:hAnsi="Cambria Math"/>
                    <w:sz w:val="20"/>
                    <w:szCs w:val="20"/>
                  </w:rPr>
                  <m:t>(</m:t>
                </m:r>
                <m:sSub>
                  <m:sSubPr>
                    <m:ctrlPr>
                      <w:rPr>
                        <w:rFonts w:ascii="Cambria Math" w:eastAsiaTheme="minorHAnsi" w:hAnsi="Cambria Math"/>
                        <w:sz w:val="20"/>
                        <w:szCs w:val="20"/>
                      </w:rPr>
                    </m:ctrlPr>
                  </m:sSubPr>
                  <m:e>
                    <m:r>
                      <w:rPr>
                        <w:rFonts w:ascii="Cambria Math" w:eastAsiaTheme="minorHAnsi" w:hAnsi="Cambria Math"/>
                        <w:sz w:val="20"/>
                        <w:szCs w:val="20"/>
                      </w:rPr>
                      <m:t>τ</m:t>
                    </m:r>
                  </m:e>
                  <m:sub>
                    <m:r>
                      <w:rPr>
                        <w:rFonts w:ascii="Cambria Math" w:eastAsiaTheme="minorHAnsi" w:hAnsi="Cambria Math"/>
                        <w:sz w:val="20"/>
                        <w:szCs w:val="20"/>
                      </w:rPr>
                      <m:t>1</m:t>
                    </m:r>
                  </m:sub>
                </m:sSub>
                <m:r>
                  <w:rPr>
                    <w:rFonts w:ascii="Cambria Math" w:eastAsiaTheme="minorHAnsi" w:hAnsi="Cambria Math"/>
                    <w:sz w:val="20"/>
                    <w:szCs w:val="20"/>
                  </w:rPr>
                  <m:t>,</m:t>
                </m:r>
                <m:sSub>
                  <m:sSubPr>
                    <m:ctrlPr>
                      <w:rPr>
                        <w:rFonts w:ascii="Cambria Math" w:eastAsiaTheme="minorHAnsi" w:hAnsi="Cambria Math"/>
                        <w:sz w:val="20"/>
                        <w:szCs w:val="20"/>
                      </w:rPr>
                    </m:ctrlPr>
                  </m:sSubPr>
                  <m:e>
                    <m:r>
                      <w:rPr>
                        <w:rFonts w:ascii="Cambria Math" w:eastAsiaTheme="minorHAnsi" w:hAnsi="Cambria Math"/>
                        <w:sz w:val="20"/>
                        <w:szCs w:val="20"/>
                      </w:rPr>
                      <m:t>τ</m:t>
                    </m:r>
                  </m:e>
                  <m:sub>
                    <m:r>
                      <w:rPr>
                        <w:rFonts w:ascii="Cambria Math" w:eastAsiaTheme="minorHAnsi" w:hAnsi="Cambria Math"/>
                        <w:sz w:val="20"/>
                        <w:szCs w:val="20"/>
                      </w:rPr>
                      <m:t>2</m:t>
                    </m:r>
                  </m:sub>
                </m:sSub>
                <m:r>
                  <w:rPr>
                    <w:rFonts w:ascii="Cambria Math" w:eastAsiaTheme="minorHAnsi" w:hAnsi="Cambria Math"/>
                    <w:sz w:val="20"/>
                    <w:szCs w:val="20"/>
                  </w:rPr>
                  <m:t>)=</m:t>
                </m:r>
                <m:nary>
                  <m:naryPr>
                    <m:chr m:val="∑"/>
                    <m:limLoc m:val="undOvr"/>
                    <m:grow m:val="1"/>
                    <m:ctrlPr>
                      <w:rPr>
                        <w:rFonts w:ascii="Cambria Math" w:eastAsiaTheme="minorHAnsi" w:hAnsi="Cambria Math"/>
                        <w:sz w:val="20"/>
                        <w:szCs w:val="20"/>
                      </w:rPr>
                    </m:ctrlPr>
                  </m:naryPr>
                  <m:sub>
                    <m:r>
                      <w:rPr>
                        <w:rFonts w:ascii="Cambria Math" w:eastAsiaTheme="minorHAnsi" w:hAnsi="Cambria Math"/>
                        <w:sz w:val="20"/>
                        <w:szCs w:val="20"/>
                      </w:rPr>
                      <m:t>τ=</m:t>
                    </m:r>
                    <m:sSub>
                      <m:sSubPr>
                        <m:ctrlPr>
                          <w:rPr>
                            <w:rFonts w:ascii="Cambria Math" w:eastAsiaTheme="minorHAnsi" w:hAnsi="Cambria Math"/>
                            <w:sz w:val="20"/>
                            <w:szCs w:val="20"/>
                          </w:rPr>
                        </m:ctrlPr>
                      </m:sSubPr>
                      <m:e>
                        <m:r>
                          <w:rPr>
                            <w:rFonts w:ascii="Cambria Math" w:eastAsiaTheme="minorHAnsi" w:hAnsi="Cambria Math"/>
                            <w:sz w:val="20"/>
                            <w:szCs w:val="20"/>
                          </w:rPr>
                          <m:t>τ</m:t>
                        </m:r>
                      </m:e>
                      <m:sub>
                        <m:r>
                          <w:rPr>
                            <w:rFonts w:ascii="Cambria Math" w:eastAsiaTheme="minorHAnsi" w:hAnsi="Cambria Math"/>
                            <w:sz w:val="20"/>
                            <w:szCs w:val="20"/>
                          </w:rPr>
                          <m:t>1</m:t>
                        </m:r>
                      </m:sub>
                    </m:sSub>
                  </m:sub>
                  <m:sup>
                    <m:sSub>
                      <m:sSubPr>
                        <m:ctrlPr>
                          <w:rPr>
                            <w:rFonts w:ascii="Cambria Math" w:eastAsiaTheme="minorHAnsi" w:hAnsi="Cambria Math"/>
                            <w:sz w:val="20"/>
                            <w:szCs w:val="20"/>
                          </w:rPr>
                        </m:ctrlPr>
                      </m:sSubPr>
                      <m:e>
                        <m:r>
                          <w:rPr>
                            <w:rFonts w:ascii="Cambria Math" w:eastAsiaTheme="minorHAnsi" w:hAnsi="Cambria Math"/>
                            <w:sz w:val="20"/>
                            <w:szCs w:val="20"/>
                          </w:rPr>
                          <m:t>τ</m:t>
                        </m:r>
                      </m:e>
                      <m:sub>
                        <m:r>
                          <w:rPr>
                            <w:rFonts w:ascii="Cambria Math" w:eastAsiaTheme="minorHAnsi" w:hAnsi="Cambria Math"/>
                            <w:sz w:val="20"/>
                            <w:szCs w:val="20"/>
                          </w:rPr>
                          <m:t>2</m:t>
                        </m:r>
                      </m:sub>
                    </m:sSub>
                  </m:sup>
                  <m:e>
                    <m:r>
                      <w:rPr>
                        <w:rFonts w:ascii="Cambria Math" w:eastAsiaTheme="minorHAnsi" w:hAnsi="Cambria Math"/>
                        <w:sz w:val="20"/>
                        <w:szCs w:val="20"/>
                      </w:rPr>
                      <m:t>A</m:t>
                    </m:r>
                  </m:e>
                </m:nary>
                <m:sSub>
                  <m:sSubPr>
                    <m:ctrlPr>
                      <w:rPr>
                        <w:rFonts w:ascii="Cambria Math" w:eastAsiaTheme="minorHAnsi" w:hAnsi="Cambria Math"/>
                        <w:sz w:val="20"/>
                        <w:szCs w:val="20"/>
                      </w:rPr>
                    </m:ctrlPr>
                  </m:sSubPr>
                  <m:e>
                    <m:r>
                      <w:rPr>
                        <w:rFonts w:ascii="Cambria Math" w:eastAsiaTheme="minorHAnsi" w:hAnsi="Cambria Math"/>
                        <w:sz w:val="20"/>
                        <w:szCs w:val="20"/>
                      </w:rPr>
                      <m:t>R</m:t>
                    </m:r>
                  </m:e>
                  <m:sub>
                    <m:r>
                      <w:rPr>
                        <w:rFonts w:ascii="Cambria Math" w:eastAsiaTheme="minorHAnsi" w:hAnsi="Cambria Math"/>
                        <w:sz w:val="20"/>
                        <w:szCs w:val="20"/>
                      </w:rPr>
                      <m:t>i,τ</m:t>
                    </m:r>
                  </m:sub>
                </m:sSub>
              </m:e>
              <m:e/>
              <m:e>
                <m:r>
                  <m:rPr>
                    <m:nor/>
                  </m:rPr>
                  <w:rPr>
                    <w:rFonts w:asciiTheme="minorHAnsi" w:eastAsiaTheme="minorHAnsi" w:hAnsiTheme="minorHAnsi"/>
                    <w:sz w:val="20"/>
                    <w:szCs w:val="20"/>
                  </w:rPr>
                  <m:t>(1)</m:t>
                </m:r>
              </m:e>
            </m:mr>
          </m:m>
          <m:r>
            <m:rPr>
              <m:sty m:val="p"/>
            </m:rPr>
            <w:rPr>
              <w:rFonts w:ascii="Cambria Math" w:eastAsiaTheme="minorHAnsi" w:hAnsi="Cambria Math"/>
              <w:sz w:val="20"/>
              <w:szCs w:val="20"/>
            </w:rPr>
            <w:br/>
          </m:r>
        </m:oMath>
      </m:oMathPara>
    </w:p>
    <w:p w14:paraId="1E0B59BE" w14:textId="77777777" w:rsidR="00D254D6" w:rsidRPr="005D3E2B" w:rsidRDefault="00D254D6" w:rsidP="005D3E2B">
      <w:pPr>
        <w:spacing w:after="80" w:line="360" w:lineRule="auto"/>
        <w:ind w:firstLineChars="100" w:firstLine="200"/>
        <w:jc w:val="both"/>
        <w:rPr>
          <w:rFonts w:asciiTheme="minorHAnsi" w:eastAsiaTheme="minorHAnsi" w:hAnsiTheme="minorHAnsi"/>
          <w:sz w:val="20"/>
          <w:szCs w:val="20"/>
        </w:rPr>
      </w:pPr>
      <w:r>
        <w:rPr>
          <w:rFonts w:asciiTheme="minorHAnsi" w:eastAsiaTheme="minorHAnsi" w:hAnsiTheme="minorHAnsi"/>
          <w:sz w:val="20"/>
          <w:szCs w:val="20"/>
        </w:rPr>
        <w:t xml:space="preserve">여기서 </w:t>
      </w:r>
      <m:oMath>
        <m:sSub>
          <m:sSubPr>
            <m:ctrlPr>
              <w:rPr>
                <w:rFonts w:ascii="Cambria Math" w:eastAsiaTheme="minorHAnsi" w:hAnsi="Cambria Math"/>
                <w:sz w:val="20"/>
                <w:szCs w:val="20"/>
              </w:rPr>
            </m:ctrlPr>
          </m:sSubPr>
          <m:e>
            <m:r>
              <w:rPr>
                <w:rFonts w:ascii="Cambria Math" w:eastAsiaTheme="minorHAnsi" w:hAnsi="Cambria Math"/>
                <w:sz w:val="20"/>
                <w:szCs w:val="20"/>
              </w:rPr>
              <m:t>R</m:t>
            </m:r>
          </m:e>
          <m:sub>
            <m:r>
              <w:rPr>
                <w:rFonts w:ascii="Cambria Math" w:eastAsiaTheme="minorHAnsi" w:hAnsi="Cambria Math"/>
                <w:sz w:val="20"/>
                <w:szCs w:val="20"/>
              </w:rPr>
              <m:t>i,t</m:t>
            </m:r>
          </m:sub>
        </m:sSub>
      </m:oMath>
      <w:r>
        <w:rPr>
          <w:rFonts w:asciiTheme="minorHAnsi" w:eastAsiaTheme="minorHAnsi" w:hAnsiTheme="minorHAnsi"/>
          <w:sz w:val="20"/>
          <w:szCs w:val="20"/>
        </w:rPr>
        <w:t xml:space="preserve">는 스테이블코인 </w:t>
      </w:r>
      <m:oMath>
        <m:r>
          <w:rPr>
            <w:rFonts w:ascii="Cambria Math" w:eastAsiaTheme="minorHAnsi" w:hAnsi="Cambria Math"/>
            <w:sz w:val="20"/>
            <w:szCs w:val="20"/>
          </w:rPr>
          <m:t>i</m:t>
        </m:r>
      </m:oMath>
      <w:r>
        <w:rPr>
          <w:rFonts w:asciiTheme="minorHAnsi" w:eastAsiaTheme="minorHAnsi" w:hAnsiTheme="minorHAnsi"/>
          <w:sz w:val="20"/>
          <w:szCs w:val="20"/>
        </w:rPr>
        <w:t xml:space="preserve">의 t일 로그수익률이고, </w:t>
      </w:r>
      <m:oMath>
        <m:sSub>
          <m:sSubPr>
            <m:ctrlPr>
              <w:rPr>
                <w:rFonts w:ascii="Cambria Math" w:eastAsiaTheme="minorHAnsi" w:hAnsi="Cambria Math"/>
                <w:sz w:val="20"/>
                <w:szCs w:val="20"/>
              </w:rPr>
            </m:ctrlPr>
          </m:sSubPr>
          <m:e>
            <m:r>
              <w:rPr>
                <w:rFonts w:ascii="Cambria Math" w:eastAsiaTheme="minorHAnsi" w:hAnsi="Cambria Math"/>
                <w:sz w:val="20"/>
                <w:szCs w:val="20"/>
              </w:rPr>
              <m:t>R</m:t>
            </m:r>
          </m:e>
          <m:sub>
            <m:r>
              <w:rPr>
                <w:rFonts w:ascii="Cambria Math" w:eastAsiaTheme="minorHAnsi" w:hAnsi="Cambria Math"/>
                <w:sz w:val="20"/>
                <w:szCs w:val="20"/>
              </w:rPr>
              <m:t>m,t</m:t>
            </m:r>
          </m:sub>
        </m:sSub>
      </m:oMath>
      <w:r>
        <w:rPr>
          <w:rFonts w:asciiTheme="minorHAnsi" w:eastAsiaTheme="minorHAnsi" w:hAnsiTheme="minorHAnsi"/>
          <w:sz w:val="20"/>
          <w:szCs w:val="20"/>
        </w:rPr>
        <w:t>는 비트코인 시장 로그수익률이다. 이벤트별 시장모형 진단 결과, Durbin-Watson 통계량이 정상 범위(1.5~2.5)를 벗어난 20건에 대해서는 HAC 표준오차를 적용하였고, Breusch-Pagan 검정에서 이분산성이 경고된 5건에 대해서도 HAC 또는 HC3 표준오차로 보정하였다.</w:t>
      </w:r>
    </w:p>
    <w:p w14:paraId="347E8253"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4. 가설 검정 방법</w:t>
      </w:r>
    </w:p>
    <w:p w14:paraId="745A7BBF" w14:textId="77777777" w:rsidR="00D254D6" w:rsidRPr="005D3E2B" w:rsidRDefault="00D254D6" w:rsidP="005D3E2B">
      <w:pPr>
        <w:spacing w:after="80" w:line="360" w:lineRule="auto"/>
        <w:ind w:firstLineChars="100" w:firstLine="200"/>
        <w:jc w:val="both"/>
        <w:rPr>
          <w:rFonts w:asciiTheme="minorHAnsi" w:eastAsiaTheme="minorHAnsi" w:hAnsiTheme="minorHAnsi"/>
          <w:sz w:val="20"/>
          <w:szCs w:val="20"/>
        </w:rPr>
      </w:pPr>
      <w:r>
        <w:rPr>
          <w:rFonts w:asciiTheme="minorHAnsi" w:eastAsiaTheme="minorHAnsi" w:hAnsiTheme="minorHAnsi"/>
          <w:sz w:val="20"/>
          <w:szCs w:val="20"/>
        </w:rPr>
        <w:t>H1의 검정을 위해 평균 누적비정상수익률(CAR)이 0과 유의하게 차이가 있는지를 검정하는 t검정(H</w:t>
      </w:r>
      <w:r>
        <w:rPr>
          <w:rFonts w:ascii="Cambria Math" w:eastAsiaTheme="minorHAnsi" w:hAnsi="Cambria Math" w:cs="Cambria Math"/>
          <w:sz w:val="20"/>
          <w:szCs w:val="20"/>
        </w:rPr>
        <w:t>₀</w:t>
      </w:r>
      <w:r>
        <w:rPr>
          <w:rFonts w:asciiTheme="minorHAnsi" w:eastAsiaTheme="minorHAnsi" w:hAnsiTheme="minorHAnsi"/>
          <w:sz w:val="20"/>
          <w:szCs w:val="20"/>
        </w:rPr>
        <w:t>: CAR = 0)과 함께 부트스트랩 신뢰구간(반복 5,000회, 95% CI)을 병행하였다. 본 연구는 표본 크기(N&lt;30)가 상대적으로 작고 일부 이벤트에서 분포의 비대칭성과 이상치 발생 가능성이 존재함을 고려하여, 두 검정 결과가 상충할 경우 분포 가정에 덜 민감한 부트스트랩 결과를 우선적으로 해석하였다.</w:t>
      </w:r>
    </w:p>
    <w:p w14:paraId="4E4A472C" w14:textId="77777777" w:rsidR="00D254D6" w:rsidRPr="005D3E2B" w:rsidRDefault="00D254D6" w:rsidP="005D3E2B">
      <w:pPr>
        <w:spacing w:after="80" w:line="360" w:lineRule="auto"/>
        <w:ind w:firstLineChars="100" w:firstLine="200"/>
        <w:jc w:val="both"/>
        <w:rPr>
          <w:rFonts w:asciiTheme="minorHAnsi" w:eastAsiaTheme="minorHAnsi" w:hAnsiTheme="minorHAnsi"/>
          <w:sz w:val="20"/>
          <w:szCs w:val="20"/>
        </w:rPr>
      </w:pPr>
      <w:r>
        <w:rPr>
          <w:rFonts w:asciiTheme="minorHAnsi" w:eastAsiaTheme="minorHAnsi" w:hAnsiTheme="minorHAnsi"/>
          <w:sz w:val="20"/>
          <w:szCs w:val="20"/>
        </w:rPr>
        <w:t>H2 검정을 위해 식(2)의 OLS 횡단면 회귀분석을 수행하였다. 표준오차는 모형 진단 결과에 따라 선택하였으며, 자기상관이 확인된 경우에는 HAC(Newey-West) 표준오차를 적용하고, 이분산성이 확인된 경우에는 HC3 표준오차를 적용하였다. 다중공선성 검정을 위해 분산팽창계수(VIF)를 확인한 결과, 절편을 제외한 변수의 최댓값은 2.57로 일반적인 기준치(10)를 하회하여 다중공선성 문제는 없는 것으로 판단된다.</w:t>
      </w:r>
    </w:p>
    <w:p w14:paraId="12993555" w14:textId="77777777" w:rsidR="00D254D6" w:rsidRPr="005D3E2B" w:rsidRDefault="00D254D6" w:rsidP="005D3E2B">
      <w:pPr>
        <w:spacing w:after="80" w:line="360" w:lineRule="auto"/>
        <w:ind w:firstLineChars="100" w:firstLine="200"/>
        <w:jc w:val="both"/>
        <w:rPr>
          <w:rFonts w:asciiTheme="minorHAnsi" w:eastAsiaTheme="minorHAnsi" w:hAnsiTheme="minorHAnsi"/>
          <w:sz w:val="20"/>
          <w:szCs w:val="20"/>
        </w:rPr>
      </w:pPr>
      <w:r>
        <w:rPr>
          <w:rFonts w:asciiTheme="minorHAnsi" w:eastAsiaTheme="minorHAnsi" w:hAnsiTheme="minorHAnsi"/>
          <w:sz w:val="20"/>
          <w:szCs w:val="20"/>
        </w:rPr>
        <w:lastRenderedPageBreak/>
        <w:t>H3 검정을 위해 긍정적 이벤트와 부정적 이벤트 간 평균 차이를 비교하는 독립 표본 t검정과, 분포 비정규성 가능성을 고려한 비모수 검정인 Mann-Whitney U 검정을 병행하였다.</w:t>
      </w:r>
    </w:p>
    <w:p w14:paraId="1A9FC942" w14:textId="77777777" w:rsidR="00D254D6" w:rsidRPr="005D3E2B" w:rsidRDefault="003516BE" w:rsidP="005D3E2B">
      <w:pPr>
        <w:spacing w:after="80" w:line="360" w:lineRule="auto"/>
        <w:jc w:val="both"/>
        <w:rPr>
          <w:rFonts w:asciiTheme="minorHAnsi" w:eastAsiaTheme="minorHAnsi" w:hAnsiTheme="minorHAnsi"/>
          <w:sz w:val="20"/>
          <w:szCs w:val="20"/>
        </w:rPr>
      </w:pPr>
      <m:oMathPara>
        <m:oMath>
          <m:m>
            <m:mPr>
              <m:plcHide m:val="1"/>
              <m:mcs>
                <m:mc>
                  <m:mcPr>
                    <m:count m:val="4"/>
                    <m:mcJc m:val="center"/>
                  </m:mcPr>
                </m:mc>
              </m:mcs>
              <m:ctrlPr>
                <w:rPr>
                  <w:rFonts w:ascii="Cambria Math" w:eastAsiaTheme="minorHAnsi" w:hAnsi="Cambria Math"/>
                  <w:sz w:val="20"/>
                  <w:szCs w:val="20"/>
                </w:rPr>
              </m:ctrlPr>
            </m:mPr>
            <m:mr>
              <m:e/>
              <m:e>
                <m:r>
                  <w:rPr>
                    <w:rFonts w:ascii="Cambria Math" w:eastAsiaTheme="minorHAnsi" w:hAnsi="Cambria Math"/>
                    <w:sz w:val="20"/>
                    <w:szCs w:val="20"/>
                  </w:rPr>
                  <m:t>CA</m:t>
                </m:r>
                <m:sSub>
                  <m:sSubPr>
                    <m:ctrlPr>
                      <w:rPr>
                        <w:rFonts w:ascii="Cambria Math" w:eastAsiaTheme="minorHAnsi" w:hAnsi="Cambria Math"/>
                        <w:sz w:val="20"/>
                        <w:szCs w:val="20"/>
                      </w:rPr>
                    </m:ctrlPr>
                  </m:sSubPr>
                  <m:e>
                    <m:r>
                      <w:rPr>
                        <w:rFonts w:ascii="Cambria Math" w:eastAsiaTheme="minorHAnsi" w:hAnsi="Cambria Math"/>
                        <w:sz w:val="20"/>
                        <w:szCs w:val="20"/>
                      </w:rPr>
                      <m:t>R</m:t>
                    </m:r>
                  </m:e>
                  <m:sub>
                    <m:r>
                      <w:rPr>
                        <w:rFonts w:ascii="Cambria Math" w:eastAsiaTheme="minorHAnsi" w:hAnsi="Cambria Math"/>
                        <w:sz w:val="20"/>
                        <w:szCs w:val="20"/>
                      </w:rPr>
                      <m:t>i</m:t>
                    </m:r>
                  </m:sub>
                </m:sSub>
                <m:r>
                  <w:rPr>
                    <w:rFonts w:ascii="Cambria Math" w:eastAsiaTheme="minorHAnsi" w:hAnsi="Cambria Math"/>
                    <w:sz w:val="20"/>
                    <w:szCs w:val="20"/>
                  </w:rPr>
                  <m:t>=α+</m:t>
                </m:r>
                <m:sSub>
                  <m:sSubPr>
                    <m:ctrlPr>
                      <w:rPr>
                        <w:rFonts w:ascii="Cambria Math" w:eastAsiaTheme="minorHAnsi" w:hAnsi="Cambria Math"/>
                        <w:sz w:val="20"/>
                        <w:szCs w:val="20"/>
                      </w:rPr>
                    </m:ctrlPr>
                  </m:sSubPr>
                  <m:e>
                    <m:r>
                      <w:rPr>
                        <w:rFonts w:ascii="Cambria Math" w:eastAsiaTheme="minorHAnsi" w:hAnsi="Cambria Math"/>
                        <w:sz w:val="20"/>
                        <w:szCs w:val="20"/>
                      </w:rPr>
                      <m:t>β</m:t>
                    </m:r>
                  </m:e>
                  <m:sub>
                    <m:r>
                      <w:rPr>
                        <w:rFonts w:ascii="Cambria Math" w:eastAsiaTheme="minorHAnsi" w:hAnsi="Cambria Math"/>
                        <w:sz w:val="20"/>
                        <w:szCs w:val="20"/>
                      </w:rPr>
                      <m:t>1</m:t>
                    </m:r>
                  </m:sub>
                </m:sSub>
                <m:r>
                  <w:rPr>
                    <w:rFonts w:ascii="Cambria Math" w:eastAsiaTheme="minorHAnsi" w:hAnsi="Cambria Math"/>
                    <w:sz w:val="20"/>
                    <w:szCs w:val="20"/>
                  </w:rPr>
                  <m:t>⋅quality</m:t>
                </m:r>
                <m:r>
                  <m:rPr>
                    <m:sty m:val="p"/>
                  </m:rPr>
                  <w:rPr>
                    <w:rFonts w:ascii="Cambria Math" w:eastAsiaTheme="minorHAnsi" w:hAnsi="Cambria Math"/>
                    <w:sz w:val="20"/>
                    <w:szCs w:val="20"/>
                  </w:rPr>
                  <m:t>_</m:t>
                </m:r>
                <m:r>
                  <w:rPr>
                    <w:rFonts w:ascii="Cambria Math" w:eastAsiaTheme="minorHAnsi" w:hAnsi="Cambria Math"/>
                    <w:sz w:val="20"/>
                    <w:szCs w:val="20"/>
                  </w:rPr>
                  <m:t>scor</m:t>
                </m:r>
                <m:sSub>
                  <m:sSubPr>
                    <m:ctrlPr>
                      <w:rPr>
                        <w:rFonts w:ascii="Cambria Math" w:eastAsiaTheme="minorHAnsi" w:hAnsi="Cambria Math"/>
                        <w:sz w:val="20"/>
                        <w:szCs w:val="20"/>
                      </w:rPr>
                    </m:ctrlPr>
                  </m:sSubPr>
                  <m:e>
                    <m:r>
                      <w:rPr>
                        <w:rFonts w:ascii="Cambria Math" w:eastAsiaTheme="minorHAnsi" w:hAnsi="Cambria Math"/>
                        <w:sz w:val="20"/>
                        <w:szCs w:val="20"/>
                      </w:rPr>
                      <m:t>e</m:t>
                    </m:r>
                  </m:e>
                  <m:sub>
                    <m:r>
                      <w:rPr>
                        <w:rFonts w:ascii="Cambria Math" w:eastAsiaTheme="minorHAnsi" w:hAnsi="Cambria Math"/>
                        <w:sz w:val="20"/>
                        <w:szCs w:val="20"/>
                      </w:rPr>
                      <m:t>i</m:t>
                    </m:r>
                  </m:sub>
                </m:sSub>
                <m:r>
                  <w:rPr>
                    <w:rFonts w:ascii="Cambria Math" w:eastAsiaTheme="minorHAnsi" w:hAnsi="Cambria Math"/>
                    <w:sz w:val="20"/>
                    <w:szCs w:val="20"/>
                  </w:rPr>
                  <m:t>+</m:t>
                </m:r>
                <m:sSub>
                  <m:sSubPr>
                    <m:ctrlPr>
                      <w:rPr>
                        <w:rFonts w:ascii="Cambria Math" w:eastAsiaTheme="minorHAnsi" w:hAnsi="Cambria Math"/>
                        <w:sz w:val="20"/>
                        <w:szCs w:val="20"/>
                      </w:rPr>
                    </m:ctrlPr>
                  </m:sSubPr>
                  <m:e>
                    <m:r>
                      <w:rPr>
                        <w:rFonts w:ascii="Cambria Math" w:eastAsiaTheme="minorHAnsi" w:hAnsi="Cambria Math"/>
                        <w:sz w:val="20"/>
                        <w:szCs w:val="20"/>
                      </w:rPr>
                      <m:t>β</m:t>
                    </m:r>
                  </m:e>
                  <m:sub>
                    <m:r>
                      <w:rPr>
                        <w:rFonts w:ascii="Cambria Math" w:eastAsiaTheme="minorHAnsi" w:hAnsi="Cambria Math"/>
                        <w:sz w:val="20"/>
                        <w:szCs w:val="20"/>
                      </w:rPr>
                      <m:t>2</m:t>
                    </m:r>
                  </m:sub>
                </m:sSub>
                <m:r>
                  <w:rPr>
                    <w:rFonts w:ascii="Cambria Math" w:eastAsiaTheme="minorHAnsi" w:hAnsi="Cambria Math"/>
                    <w:sz w:val="20"/>
                    <w:szCs w:val="20"/>
                  </w:rPr>
                  <m:t>⋅negativ</m:t>
                </m:r>
                <m:sSub>
                  <m:sSubPr>
                    <m:ctrlPr>
                      <w:rPr>
                        <w:rFonts w:ascii="Cambria Math" w:eastAsiaTheme="minorHAnsi" w:hAnsi="Cambria Math"/>
                        <w:sz w:val="20"/>
                        <w:szCs w:val="20"/>
                      </w:rPr>
                    </m:ctrlPr>
                  </m:sSubPr>
                  <m:e>
                    <m:r>
                      <w:rPr>
                        <w:rFonts w:ascii="Cambria Math" w:eastAsiaTheme="minorHAnsi" w:hAnsi="Cambria Math"/>
                        <w:sz w:val="20"/>
                        <w:szCs w:val="20"/>
                      </w:rPr>
                      <m:t>e</m:t>
                    </m:r>
                  </m:e>
                  <m:sub>
                    <m:r>
                      <w:rPr>
                        <w:rFonts w:ascii="Cambria Math" w:eastAsiaTheme="minorHAnsi" w:hAnsi="Cambria Math"/>
                        <w:sz w:val="20"/>
                        <w:szCs w:val="20"/>
                      </w:rPr>
                      <m:t>i</m:t>
                    </m:r>
                  </m:sub>
                </m:sSub>
                <m:r>
                  <w:rPr>
                    <w:rFonts w:ascii="Cambria Math" w:eastAsiaTheme="minorHAnsi" w:hAnsi="Cambria Math"/>
                    <w:sz w:val="20"/>
                    <w:szCs w:val="20"/>
                  </w:rPr>
                  <m:t>+</m:t>
                </m:r>
                <m:sSub>
                  <m:sSubPr>
                    <m:ctrlPr>
                      <w:rPr>
                        <w:rFonts w:ascii="Cambria Math" w:eastAsiaTheme="minorHAnsi" w:hAnsi="Cambria Math"/>
                        <w:sz w:val="20"/>
                        <w:szCs w:val="20"/>
                      </w:rPr>
                    </m:ctrlPr>
                  </m:sSubPr>
                  <m:e>
                    <m:r>
                      <w:rPr>
                        <w:rFonts w:ascii="Cambria Math" w:eastAsiaTheme="minorHAnsi" w:hAnsi="Cambria Math"/>
                        <w:sz w:val="20"/>
                        <w:szCs w:val="20"/>
                      </w:rPr>
                      <m:t>β</m:t>
                    </m:r>
                  </m:e>
                  <m:sub>
                    <m:r>
                      <w:rPr>
                        <w:rFonts w:ascii="Cambria Math" w:eastAsiaTheme="minorHAnsi" w:hAnsi="Cambria Math"/>
                        <w:sz w:val="20"/>
                        <w:szCs w:val="20"/>
                      </w:rPr>
                      <m:t>3</m:t>
                    </m:r>
                  </m:sub>
                </m:sSub>
                <m:r>
                  <w:rPr>
                    <w:rFonts w:ascii="Cambria Math" w:eastAsiaTheme="minorHAnsi" w:hAnsi="Cambria Math"/>
                    <w:sz w:val="20"/>
                    <w:szCs w:val="20"/>
                  </w:rPr>
                  <m:t>⋅is</m:t>
                </m:r>
                <m:r>
                  <m:rPr>
                    <m:sty m:val="p"/>
                  </m:rPr>
                  <w:rPr>
                    <w:rFonts w:ascii="Cambria Math" w:eastAsiaTheme="minorHAnsi" w:hAnsi="Cambria Math"/>
                    <w:sz w:val="20"/>
                    <w:szCs w:val="20"/>
                  </w:rPr>
                  <m:t>_</m:t>
                </m:r>
                <m:r>
                  <w:rPr>
                    <w:rFonts w:ascii="Cambria Math" w:eastAsiaTheme="minorHAnsi" w:hAnsi="Cambria Math"/>
                    <w:sz w:val="20"/>
                    <w:szCs w:val="20"/>
                  </w:rPr>
                  <m:t>usd</m:t>
                </m:r>
                <m:sSub>
                  <m:sSubPr>
                    <m:ctrlPr>
                      <w:rPr>
                        <w:rFonts w:ascii="Cambria Math" w:eastAsiaTheme="minorHAnsi" w:hAnsi="Cambria Math"/>
                        <w:sz w:val="20"/>
                        <w:szCs w:val="20"/>
                      </w:rPr>
                    </m:ctrlPr>
                  </m:sSubPr>
                  <m:e>
                    <m:r>
                      <w:rPr>
                        <w:rFonts w:ascii="Cambria Math" w:eastAsiaTheme="minorHAnsi" w:hAnsi="Cambria Math"/>
                        <w:sz w:val="20"/>
                        <w:szCs w:val="20"/>
                      </w:rPr>
                      <m:t>c</m:t>
                    </m:r>
                  </m:e>
                  <m:sub>
                    <m:r>
                      <w:rPr>
                        <w:rFonts w:ascii="Cambria Math" w:eastAsiaTheme="minorHAnsi" w:hAnsi="Cambria Math"/>
                        <w:sz w:val="20"/>
                        <w:szCs w:val="20"/>
                      </w:rPr>
                      <m:t>i</m:t>
                    </m:r>
                  </m:sub>
                </m:sSub>
                <m:r>
                  <w:rPr>
                    <w:rFonts w:ascii="Cambria Math" w:eastAsiaTheme="minorHAnsi" w:hAnsi="Cambria Math"/>
                    <w:sz w:val="20"/>
                    <w:szCs w:val="20"/>
                  </w:rPr>
                  <m:t>+</m:t>
                </m:r>
                <m:sSub>
                  <m:sSubPr>
                    <m:ctrlPr>
                      <w:rPr>
                        <w:rFonts w:ascii="Cambria Math" w:eastAsiaTheme="minorHAnsi" w:hAnsi="Cambria Math"/>
                        <w:sz w:val="20"/>
                        <w:szCs w:val="20"/>
                      </w:rPr>
                    </m:ctrlPr>
                  </m:sSubPr>
                  <m:e>
                    <m:r>
                      <w:rPr>
                        <w:rFonts w:ascii="Cambria Math" w:eastAsiaTheme="minorHAnsi" w:hAnsi="Cambria Math"/>
                        <w:sz w:val="20"/>
                        <w:szCs w:val="20"/>
                      </w:rPr>
                      <m:t>ϵ</m:t>
                    </m:r>
                  </m:e>
                  <m:sub>
                    <m:r>
                      <w:rPr>
                        <w:rFonts w:ascii="Cambria Math" w:eastAsiaTheme="minorHAnsi" w:hAnsi="Cambria Math"/>
                        <w:sz w:val="20"/>
                        <w:szCs w:val="20"/>
                      </w:rPr>
                      <m:t>i</m:t>
                    </m:r>
                  </m:sub>
                </m:sSub>
              </m:e>
              <m:e/>
              <m:e>
                <m:r>
                  <m:rPr>
                    <m:nor/>
                  </m:rPr>
                  <w:rPr>
                    <w:rFonts w:asciiTheme="minorHAnsi" w:eastAsiaTheme="minorHAnsi" w:hAnsiTheme="minorHAnsi"/>
                    <w:sz w:val="20"/>
                    <w:szCs w:val="20"/>
                  </w:rPr>
                  <m:t>(2)</m:t>
                </m:r>
              </m:e>
            </m:mr>
          </m:m>
          <m:r>
            <m:rPr>
              <m:sty m:val="p"/>
            </m:rPr>
            <w:rPr>
              <w:rFonts w:ascii="Cambria Math" w:eastAsiaTheme="minorHAnsi" w:hAnsi="Cambria Math"/>
              <w:sz w:val="20"/>
              <w:szCs w:val="20"/>
            </w:rPr>
            <w:br/>
          </m:r>
        </m:oMath>
      </m:oMathPara>
    </w:p>
    <w:p w14:paraId="7EF8B879" w14:textId="77777777" w:rsidR="00D254D6" w:rsidRPr="005D3E2B" w:rsidRDefault="00D254D6" w:rsidP="005D3E2B">
      <w:pPr>
        <w:spacing w:after="80" w:line="360" w:lineRule="auto"/>
        <w:ind w:firstLineChars="100" w:firstLine="200"/>
        <w:jc w:val="both"/>
        <w:rPr>
          <w:rFonts w:asciiTheme="minorHAnsi" w:eastAsiaTheme="minorHAnsi" w:hAnsiTheme="minorHAnsi"/>
          <w:sz w:val="20"/>
          <w:szCs w:val="20"/>
        </w:rPr>
      </w:pPr>
      <w:r>
        <w:rPr>
          <w:rFonts w:asciiTheme="minorHAnsi" w:eastAsiaTheme="minorHAnsi" w:hAnsiTheme="minorHAnsi"/>
          <w:sz w:val="20"/>
          <w:szCs w:val="20"/>
        </w:rPr>
        <w:t xml:space="preserve">여기서 </w:t>
      </w:r>
      <m:oMath>
        <m:r>
          <w:rPr>
            <w:rFonts w:ascii="Cambria Math" w:eastAsiaTheme="minorHAnsi" w:hAnsi="Cambria Math"/>
            <w:sz w:val="20"/>
            <w:szCs w:val="20"/>
          </w:rPr>
          <m:t>CA</m:t>
        </m:r>
        <m:sSub>
          <m:sSubPr>
            <m:ctrlPr>
              <w:rPr>
                <w:rFonts w:ascii="Cambria Math" w:eastAsiaTheme="minorHAnsi" w:hAnsi="Cambria Math"/>
                <w:sz w:val="20"/>
                <w:szCs w:val="20"/>
              </w:rPr>
            </m:ctrlPr>
          </m:sSubPr>
          <m:e>
            <m:r>
              <w:rPr>
                <w:rFonts w:ascii="Cambria Math" w:eastAsiaTheme="minorHAnsi" w:hAnsi="Cambria Math"/>
                <w:sz w:val="20"/>
                <w:szCs w:val="20"/>
              </w:rPr>
              <m:t>R</m:t>
            </m:r>
          </m:e>
          <m:sub>
            <m:r>
              <w:rPr>
                <w:rFonts w:ascii="Cambria Math" w:eastAsiaTheme="minorHAnsi" w:hAnsi="Cambria Math"/>
                <w:sz w:val="20"/>
                <w:szCs w:val="20"/>
              </w:rPr>
              <m:t>i</m:t>
            </m:r>
          </m:sub>
        </m:sSub>
      </m:oMath>
      <w:r>
        <w:rPr>
          <w:rFonts w:asciiTheme="minorHAnsi" w:eastAsiaTheme="minorHAnsi" w:hAnsiTheme="minorHAnsi"/>
          <w:sz w:val="20"/>
          <w:szCs w:val="20"/>
        </w:rPr>
        <w:t xml:space="preserve">는 이벤트 </w:t>
      </w:r>
      <m:oMath>
        <m:r>
          <w:rPr>
            <w:rFonts w:ascii="Cambria Math" w:eastAsiaTheme="minorHAnsi" w:hAnsi="Cambria Math"/>
            <w:sz w:val="20"/>
            <w:szCs w:val="20"/>
          </w:rPr>
          <m:t>i</m:t>
        </m:r>
      </m:oMath>
      <w:r>
        <w:rPr>
          <w:rFonts w:asciiTheme="minorHAnsi" w:eastAsiaTheme="minorHAnsi" w:hAnsiTheme="minorHAnsi"/>
          <w:sz w:val="20"/>
          <w:szCs w:val="20"/>
        </w:rPr>
        <w:t xml:space="preserve">의 누적비정상수익률이며, </w:t>
      </w:r>
      <m:oMath>
        <m:r>
          <w:rPr>
            <w:rFonts w:ascii="Cambria Math" w:eastAsiaTheme="minorHAnsi" w:hAnsi="Cambria Math"/>
            <w:sz w:val="20"/>
            <w:szCs w:val="20"/>
          </w:rPr>
          <m:t>quality</m:t>
        </m:r>
        <m:r>
          <m:rPr>
            <m:sty m:val="p"/>
          </m:rPr>
          <w:rPr>
            <w:rFonts w:ascii="Cambria Math" w:eastAsiaTheme="minorHAnsi" w:hAnsi="Cambria Math"/>
            <w:sz w:val="20"/>
            <w:szCs w:val="20"/>
          </w:rPr>
          <m:t>_</m:t>
        </m:r>
        <m:r>
          <w:rPr>
            <w:rFonts w:ascii="Cambria Math" w:eastAsiaTheme="minorHAnsi" w:hAnsi="Cambria Math"/>
            <w:sz w:val="20"/>
            <w:szCs w:val="20"/>
          </w:rPr>
          <m:t>scor</m:t>
        </m:r>
        <m:sSub>
          <m:sSubPr>
            <m:ctrlPr>
              <w:rPr>
                <w:rFonts w:ascii="Cambria Math" w:eastAsiaTheme="minorHAnsi" w:hAnsi="Cambria Math"/>
                <w:sz w:val="20"/>
                <w:szCs w:val="20"/>
              </w:rPr>
            </m:ctrlPr>
          </m:sSubPr>
          <m:e>
            <m:r>
              <w:rPr>
                <w:rFonts w:ascii="Cambria Math" w:eastAsiaTheme="minorHAnsi" w:hAnsi="Cambria Math"/>
                <w:sz w:val="20"/>
                <w:szCs w:val="20"/>
              </w:rPr>
              <m:t>e</m:t>
            </m:r>
          </m:e>
          <m:sub>
            <m:r>
              <w:rPr>
                <w:rFonts w:ascii="Cambria Math" w:eastAsiaTheme="minorHAnsi" w:hAnsi="Cambria Math"/>
                <w:sz w:val="20"/>
                <w:szCs w:val="20"/>
              </w:rPr>
              <m:t>i</m:t>
            </m:r>
          </m:sub>
        </m:sSub>
      </m:oMath>
      <w:r>
        <w:rPr>
          <w:rFonts w:asciiTheme="minorHAnsi" w:eastAsiaTheme="minorHAnsi" w:hAnsiTheme="minorHAnsi"/>
          <w:sz w:val="20"/>
          <w:szCs w:val="20"/>
        </w:rPr>
        <w:t xml:space="preserve">는 공시 품질지수, </w:t>
      </w:r>
      <m:oMath>
        <m:r>
          <w:rPr>
            <w:rFonts w:ascii="Cambria Math" w:eastAsiaTheme="minorHAnsi" w:hAnsi="Cambria Math"/>
            <w:sz w:val="20"/>
            <w:szCs w:val="20"/>
          </w:rPr>
          <m:t>negativ</m:t>
        </m:r>
        <m:sSub>
          <m:sSubPr>
            <m:ctrlPr>
              <w:rPr>
                <w:rFonts w:ascii="Cambria Math" w:eastAsiaTheme="minorHAnsi" w:hAnsi="Cambria Math"/>
                <w:sz w:val="20"/>
                <w:szCs w:val="20"/>
              </w:rPr>
            </m:ctrlPr>
          </m:sSubPr>
          <m:e>
            <m:r>
              <w:rPr>
                <w:rFonts w:ascii="Cambria Math" w:eastAsiaTheme="minorHAnsi" w:hAnsi="Cambria Math"/>
                <w:sz w:val="20"/>
                <w:szCs w:val="20"/>
              </w:rPr>
              <m:t>e</m:t>
            </m:r>
          </m:e>
          <m:sub>
            <m:r>
              <w:rPr>
                <w:rFonts w:ascii="Cambria Math" w:eastAsiaTheme="minorHAnsi" w:hAnsi="Cambria Math"/>
                <w:sz w:val="20"/>
                <w:szCs w:val="20"/>
              </w:rPr>
              <m:t>i</m:t>
            </m:r>
          </m:sub>
        </m:sSub>
      </m:oMath>
      <w:r>
        <w:rPr>
          <w:rFonts w:asciiTheme="minorHAnsi" w:eastAsiaTheme="minorHAnsi" w:hAnsiTheme="minorHAnsi"/>
          <w:sz w:val="20"/>
          <w:szCs w:val="20"/>
        </w:rPr>
        <w:t xml:space="preserve">는 부정적 이벤트 더미 변수, </w:t>
      </w:r>
      <m:oMath>
        <m:r>
          <w:rPr>
            <w:rFonts w:ascii="Cambria Math" w:eastAsiaTheme="minorHAnsi" w:hAnsi="Cambria Math"/>
            <w:sz w:val="20"/>
            <w:szCs w:val="20"/>
          </w:rPr>
          <m:t>is</m:t>
        </m:r>
        <m:r>
          <m:rPr>
            <m:sty m:val="p"/>
          </m:rPr>
          <w:rPr>
            <w:rFonts w:ascii="Cambria Math" w:eastAsiaTheme="minorHAnsi" w:hAnsi="Cambria Math"/>
            <w:sz w:val="20"/>
            <w:szCs w:val="20"/>
          </w:rPr>
          <m:t>_</m:t>
        </m:r>
        <m:r>
          <w:rPr>
            <w:rFonts w:ascii="Cambria Math" w:eastAsiaTheme="minorHAnsi" w:hAnsi="Cambria Math"/>
            <w:sz w:val="20"/>
            <w:szCs w:val="20"/>
          </w:rPr>
          <m:t>usd</m:t>
        </m:r>
        <m:sSub>
          <m:sSubPr>
            <m:ctrlPr>
              <w:rPr>
                <w:rFonts w:ascii="Cambria Math" w:eastAsiaTheme="minorHAnsi" w:hAnsi="Cambria Math"/>
                <w:sz w:val="20"/>
                <w:szCs w:val="20"/>
              </w:rPr>
            </m:ctrlPr>
          </m:sSubPr>
          <m:e>
            <m:r>
              <w:rPr>
                <w:rFonts w:ascii="Cambria Math" w:eastAsiaTheme="minorHAnsi" w:hAnsi="Cambria Math"/>
                <w:sz w:val="20"/>
                <w:szCs w:val="20"/>
              </w:rPr>
              <m:t>c</m:t>
            </m:r>
          </m:e>
          <m:sub>
            <m:r>
              <w:rPr>
                <w:rFonts w:ascii="Cambria Math" w:eastAsiaTheme="minorHAnsi" w:hAnsi="Cambria Math"/>
                <w:sz w:val="20"/>
                <w:szCs w:val="20"/>
              </w:rPr>
              <m:t>i</m:t>
            </m:r>
          </m:sub>
        </m:sSub>
      </m:oMath>
      <w:r>
        <w:rPr>
          <w:rFonts w:asciiTheme="minorHAnsi" w:eastAsiaTheme="minorHAnsi" w:hAnsiTheme="minorHAnsi"/>
          <w:sz w:val="20"/>
          <w:szCs w:val="20"/>
        </w:rPr>
        <w:t>는 USDC 여부를 나타내는 더미 변수이다.</w:t>
      </w:r>
    </w:p>
    <w:p w14:paraId="26C9EF72" w14:textId="77777777" w:rsidR="00520050" w:rsidRPr="005D3E2B" w:rsidRDefault="00520050" w:rsidP="005D3E2B">
      <w:pPr>
        <w:spacing w:line="360" w:lineRule="auto"/>
        <w:rPr>
          <w:rFonts w:asciiTheme="minorHAnsi" w:eastAsiaTheme="minorHAnsi" w:hAnsiTheme="minorHAnsi"/>
          <w:sz w:val="20"/>
          <w:szCs w:val="20"/>
        </w:rPr>
      </w:pPr>
    </w:p>
    <w:p w14:paraId="2BF3BB10" w14:textId="77777777" w:rsidR="00520050" w:rsidRPr="005D3E2B" w:rsidRDefault="00190F51" w:rsidP="005D3E2B">
      <w:pPr>
        <w:pStyle w:val="1"/>
        <w:spacing w:line="360" w:lineRule="auto"/>
        <w:rPr>
          <w:rFonts w:asciiTheme="minorHAnsi" w:eastAsiaTheme="minorHAnsi" w:hAnsiTheme="minorHAnsi"/>
          <w:sz w:val="20"/>
          <w:szCs w:val="20"/>
        </w:rPr>
      </w:pPr>
      <w:r>
        <w:rPr>
          <w:rFonts w:asciiTheme="minorHAnsi" w:eastAsiaTheme="minorHAnsi" w:hAnsiTheme="minorHAnsi"/>
          <w:sz w:val="20"/>
          <w:szCs w:val="20"/>
        </w:rPr>
        <w:t>Ⅳ. 실증분석 결과</w:t>
      </w:r>
    </w:p>
    <w:p w14:paraId="405C15B3"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1. 기초통계</w:t>
      </w:r>
    </w:p>
    <w:p w14:paraId="27B95968"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일별 데이터의 분석 기간은 2020년 7월 1일부터 2025년 4월 29일까지이며, 총 1,764일의 관측치를 포함한다. &lt;표 3&gt;은 기초통계량을 제시하고, &lt;그림 1&gt;은 USDT와 USDC의 가격 시계열, 이벤트 분포, 그리고 공시 품질지수의 추이를 보여준다.</w:t>
      </w:r>
    </w:p>
    <w:p w14:paraId="0CA7BB68"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 xml:space="preserve">USDT와 USDC의 평균 일별 수익률은 각각 </w:t>
      </w:r>
      <w:r>
        <w:rPr>
          <w:rFonts w:ascii="Cambria Math" w:eastAsiaTheme="minorHAnsi" w:hAnsi="Cambria Math" w:cs="Cambria Math"/>
          <w:sz w:val="20"/>
          <w:szCs w:val="20"/>
        </w:rPr>
        <w:t>−</w:t>
      </w:r>
      <w:r>
        <w:rPr>
          <w:rFonts w:asciiTheme="minorHAnsi" w:eastAsiaTheme="minorHAnsi" w:hAnsiTheme="minorHAnsi"/>
          <w:sz w:val="20"/>
          <w:szCs w:val="20"/>
        </w:rPr>
        <w:t xml:space="preserve">0.0001%, </w:t>
      </w:r>
      <w:r>
        <w:rPr>
          <w:rFonts w:ascii="Cambria Math" w:eastAsiaTheme="minorHAnsi" w:hAnsi="Cambria Math" w:cs="Cambria Math"/>
          <w:sz w:val="20"/>
          <w:szCs w:val="20"/>
        </w:rPr>
        <w:t>−</w:t>
      </w:r>
      <w:r>
        <w:rPr>
          <w:rFonts w:asciiTheme="minorHAnsi" w:eastAsiaTheme="minorHAnsi" w:hAnsiTheme="minorHAnsi"/>
          <w:sz w:val="20"/>
          <w:szCs w:val="20"/>
        </w:rPr>
        <w:t>0.0000%로 나타나, 두 자산이 1:1 달러 연동을 목표로 설계된 스테이블코인이라는 특성을 반영하는 결과로 해석된다. 패그 이탈의 평균은 USDT가 0.0558%, USDC가 0.0276%로 USDT가 다소 높게 나타났으나, USDC의 최대 패그 이탈(2.85%)은 SVB 사태 당시 발생한 극단적 디페깅과 관련되며, 이 시기 USDC 가격은 최저 약 0.972달러까지 하락하였다.</w:t>
      </w:r>
    </w:p>
    <w:p w14:paraId="19CD4958"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&lt;그림 1&gt;의 하단 패널에서 확인되듯, USDT의 공시 품질지수는 2021년 초반 1~2점 수준에서 출발하여 2023년 이후 5점으로 꾸준히 상승하였다. 반면 Circle은 2022년 이후 대체로 5점을 유지하였으며, 2023년 3월 SVB 파산 시기에 일시적으로 하락한 뒤 다시 회복하는 패턴을 보였다. 이러한 추이는 Tether의 투명성 개선과 Circle의 상대적으로 높은 초기 공시 수준을 시각적으로 보여준다.</w:t>
      </w:r>
    </w:p>
    <w:p w14:paraId="73837029" w14:textId="77777777" w:rsidR="00520050" w:rsidRPr="005D3E2B" w:rsidRDefault="00520050" w:rsidP="005D3E2B">
      <w:pPr>
        <w:spacing w:line="360" w:lineRule="auto"/>
        <w:rPr>
          <w:rFonts w:asciiTheme="minorHAnsi" w:eastAsiaTheme="minorHAnsi" w:hAnsiTheme="minorHAnsi"/>
          <w:sz w:val="20"/>
          <w:szCs w:val="20"/>
        </w:rPr>
      </w:pPr>
    </w:p>
    <w:p w14:paraId="1472C1C5"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&lt;표 3&gt; 기초통계량 (일별 로그수익률·패그이탈)</w:t>
      </w:r>
    </w:p>
    <w:tbl>
      <w:tblPr>
        <w:tblW w:w="88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1324"/>
        <w:gridCol w:w="1324"/>
        <w:gridCol w:w="1324"/>
        <w:gridCol w:w="1324"/>
        <w:gridCol w:w="1324"/>
      </w:tblGrid>
      <w:tr w:rsidR="00520050" w:rsidRPr="005D3E2B" w14:paraId="1857D5E3" w14:textId="77777777" w:rsidTr="005D3E2B">
        <w:trPr>
          <w:trHeight w:val="521"/>
        </w:trPr>
        <w:tc>
          <w:tcPr>
            <w:tcW w:w="2207"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11805333"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lastRenderedPageBreak/>
              <w:t>변수</w:t>
            </w:r>
          </w:p>
        </w:tc>
        <w:tc>
          <w:tcPr>
            <w:tcW w:w="1324"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03047A96"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평균</w:t>
            </w:r>
          </w:p>
        </w:tc>
        <w:tc>
          <w:tcPr>
            <w:tcW w:w="1324"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DDF82AA"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표준편차</w:t>
            </w:r>
          </w:p>
        </w:tc>
        <w:tc>
          <w:tcPr>
            <w:tcW w:w="1324"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62A49A1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최솟값</w:t>
            </w:r>
          </w:p>
        </w:tc>
        <w:tc>
          <w:tcPr>
            <w:tcW w:w="1324"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FB919A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최댓값</w:t>
            </w:r>
          </w:p>
        </w:tc>
        <w:tc>
          <w:tcPr>
            <w:tcW w:w="1324"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B1A3B0A"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관측수</w:t>
            </w:r>
          </w:p>
        </w:tc>
      </w:tr>
      <w:tr w:rsidR="00520050" w:rsidRPr="005D3E2B" w14:paraId="0976DF92" w14:textId="77777777" w:rsidTr="005D3E2B">
        <w:trPr>
          <w:trHeight w:val="521"/>
        </w:trPr>
        <w:tc>
          <w:tcPr>
            <w:tcW w:w="220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CB5247A"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r_USDT (%)</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C45534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-0.0001</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A99C243"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0.1021</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7BE3F89"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-1.8985</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8983146"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+1.4036</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1A747B7"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1,763</w:t>
            </w:r>
          </w:p>
        </w:tc>
      </w:tr>
      <w:tr w:rsidR="00520050" w:rsidRPr="005D3E2B" w14:paraId="62B58054" w14:textId="77777777" w:rsidTr="005D3E2B">
        <w:trPr>
          <w:trHeight w:val="521"/>
        </w:trPr>
        <w:tc>
          <w:tcPr>
            <w:tcW w:w="220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06B9E56"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r_USDC (%)</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BA6145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-0.0000</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D67D7B7"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0.1108</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3CB51D9"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-2.8393</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A0FC32B"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+2.0951</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9BF15D5"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1,763</w:t>
            </w:r>
          </w:p>
        </w:tc>
      </w:tr>
      <w:tr w:rsidR="00520050" w:rsidRPr="005D3E2B" w14:paraId="32A95FA0" w14:textId="77777777" w:rsidTr="005D3E2B">
        <w:trPr>
          <w:trHeight w:val="521"/>
        </w:trPr>
        <w:tc>
          <w:tcPr>
            <w:tcW w:w="220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0906E8"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r_BTC (%)</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D5ADDC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+0.1318</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1FBF469"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3.1668</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9DC526A"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-17.405</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452600F"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+17.182</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73BF817"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1,763</w:t>
            </w:r>
          </w:p>
        </w:tc>
      </w:tr>
      <w:tr w:rsidR="00520050" w:rsidRPr="005D3E2B" w14:paraId="00049F34" w14:textId="77777777" w:rsidTr="005D3E2B">
        <w:trPr>
          <w:trHeight w:val="521"/>
        </w:trPr>
        <w:tc>
          <w:tcPr>
            <w:tcW w:w="220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6C64BBA"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dev_USDT (%)</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053E6C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0.0558</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DCA2435"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0.0956</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DBE802"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0.0000</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5607E0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2.0210</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1CEA7B5"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1,764</w:t>
            </w:r>
          </w:p>
        </w:tc>
      </w:tr>
      <w:tr w:rsidR="00520050" w:rsidRPr="005D3E2B" w14:paraId="1AEF96AE" w14:textId="77777777" w:rsidTr="005D3E2B">
        <w:trPr>
          <w:trHeight w:val="531"/>
        </w:trPr>
        <w:tc>
          <w:tcPr>
            <w:tcW w:w="220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C5C3634"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dev_USDC (%)</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898381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0.0276</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2ACB1D5"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0.0891</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62F0C4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0.0000</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5F7AA3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2.8500</w:t>
            </w:r>
          </w:p>
        </w:tc>
        <w:tc>
          <w:tcPr>
            <w:tcW w:w="13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94A857B"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1,764</w:t>
            </w:r>
          </w:p>
        </w:tc>
      </w:tr>
    </w:tbl>
    <w:p w14:paraId="74744043" w14:textId="77777777" w:rsidR="00D254D6" w:rsidRPr="005D3E2B" w:rsidRDefault="00D254D6" w:rsidP="005D3E2B">
      <w:pPr>
        <w:spacing w:before="40" w:after="80" w:line="360" w:lineRule="auto"/>
        <w:jc w:val="both"/>
        <w:rPr>
          <w:rFonts w:asciiTheme="minorHAnsi" w:eastAsiaTheme="minorHAnsi" w:hAnsiTheme="minorHAnsi"/>
          <w:sz w:val="18"/>
          <w:szCs w:val="18"/>
        </w:rPr>
      </w:pPr>
      <w:r>
        <w:rPr>
          <w:rFonts w:asciiTheme="minorHAnsi" w:eastAsiaTheme="minorHAnsi" w:hAnsiTheme="minorHAnsi"/>
          <w:sz w:val="18"/>
          <w:szCs w:val="18"/>
        </w:rPr>
        <w:t xml:space="preserve">주: </w:t>
      </w:r>
      <m:oMath>
        <m:r>
          <w:rPr>
            <w:rFonts w:ascii="Cambria Math" w:eastAsiaTheme="minorHAnsi" w:hAnsi="Cambria Math"/>
            <w:sz w:val="18"/>
            <w:szCs w:val="18"/>
          </w:rPr>
          <m:t>r</m:t>
        </m:r>
      </m:oMath>
      <w:r>
        <w:rPr>
          <w:rFonts w:asciiTheme="minorHAnsi" w:eastAsiaTheme="minorHAnsi" w:hAnsiTheme="minorHAnsi"/>
          <w:sz w:val="18"/>
          <w:szCs w:val="18"/>
        </w:rPr>
        <w:t xml:space="preserve">는 일별 로그수익률(%), </w:t>
      </w:r>
      <m:oMath>
        <m:r>
          <w:rPr>
            <w:rFonts w:ascii="Cambria Math" w:eastAsiaTheme="minorHAnsi" w:hAnsi="Cambria Math"/>
            <w:sz w:val="18"/>
            <w:szCs w:val="18"/>
          </w:rPr>
          <m:t>dev</m:t>
        </m:r>
      </m:oMath>
      <w:r>
        <w:rPr>
          <w:rFonts w:asciiTheme="minorHAnsi" w:eastAsiaTheme="minorHAnsi" w:hAnsiTheme="minorHAnsi"/>
          <w:sz w:val="18"/>
          <w:szCs w:val="18"/>
        </w:rPr>
        <w:t xml:space="preserve">는 패그이탈 </w:t>
      </w:r>
      <m:oMath>
        <m:d>
          <m:dPr>
            <m:ctrlPr>
              <w:rPr>
                <w:rFonts w:ascii="Cambria Math" w:eastAsiaTheme="minorHAnsi" w:hAnsi="Cambria Math"/>
                <w:sz w:val="18"/>
                <w:szCs w:val="18"/>
              </w:rPr>
            </m:ctrlPr>
          </m:dPr>
          <m:e>
            <m:r>
              <m:rPr>
                <m:sty m:val="p"/>
              </m:rPr>
              <w:rPr>
                <w:rFonts w:ascii="Cambria Math" w:eastAsiaTheme="minorHAnsi" w:hAnsi="Cambria Math"/>
                <w:sz w:val="18"/>
                <w:szCs w:val="18"/>
              </w:rPr>
              <m:t>∣</m:t>
            </m:r>
            <m:r>
              <w:rPr>
                <w:rFonts w:ascii="Cambria Math" w:eastAsiaTheme="minorHAnsi" w:hAnsi="Cambria Math"/>
                <w:sz w:val="18"/>
                <w:szCs w:val="18"/>
              </w:rPr>
              <m:t>price-1</m:t>
            </m:r>
            <m:r>
              <m:rPr>
                <m:sty m:val="p"/>
              </m:rPr>
              <w:rPr>
                <w:rFonts w:ascii="Cambria Math" w:eastAsiaTheme="minorHAnsi" w:hAnsi="Cambria Math"/>
                <w:sz w:val="18"/>
                <w:szCs w:val="18"/>
              </w:rPr>
              <m:t>∣</m:t>
            </m:r>
            <m:r>
              <w:rPr>
                <w:rFonts w:ascii="Cambria Math" w:eastAsiaTheme="minorHAnsi" w:hAnsi="Cambria Math"/>
                <w:sz w:val="18"/>
                <w:szCs w:val="18"/>
              </w:rPr>
              <m:t>×100,</m:t>
            </m:r>
            <m:r>
              <m:rPr>
                <m:sty m:val="p"/>
              </m:rPr>
              <w:rPr>
                <w:rFonts w:ascii="Cambria Math" w:eastAsiaTheme="minorHAnsi" w:hAnsi="Cambria Math"/>
                <w:sz w:val="18"/>
                <w:szCs w:val="18"/>
              </w:rPr>
              <m:t> %</m:t>
            </m:r>
          </m:e>
        </m:d>
      </m:oMath>
      <w:r>
        <w:rPr>
          <w:rFonts w:asciiTheme="minorHAnsi" w:eastAsiaTheme="minorHAnsi" w:hAnsiTheme="minorHAnsi"/>
          <w:sz w:val="18"/>
          <w:szCs w:val="18"/>
        </w:rPr>
        <w:t>을 의미한다. 1bp는 0.01%에 해당하나, 본 연구에서는 스테이블코인의 미세한 수익률 변동을 직관적으로 제시하기 위해 % 단위를 사용하였다.</w:t>
      </w:r>
    </w:p>
    <w:p w14:paraId="2AD24D3E" w14:textId="77777777" w:rsidR="00520050" w:rsidRPr="005D3E2B" w:rsidRDefault="00520050" w:rsidP="005D3E2B">
      <w:pPr>
        <w:spacing w:before="80" w:after="80" w:line="360" w:lineRule="auto"/>
        <w:jc w:val="center"/>
        <w:rPr>
          <w:rFonts w:asciiTheme="minorHAnsi" w:eastAsiaTheme="minorHAnsi" w:hAnsiTheme="minorHAnsi"/>
          <w:sz w:val="20"/>
          <w:szCs w:val="20"/>
        </w:rPr>
      </w:pPr>
    </w:p>
    <w:p w14:paraId="60EA0396" w14:textId="77777777" w:rsidR="00F109A3" w:rsidRPr="005D3E2B" w:rsidRDefault="00F109A3" w:rsidP="005D3E2B">
      <w:pPr>
        <w:spacing w:before="80" w:after="120" w:line="360" w:lineRule="auto"/>
        <w:jc w:val="center"/>
        <w:rPr>
          <w:rFonts w:asciiTheme="minorHAnsi" w:eastAsiaTheme="minorHAnsi" w:hAnsiTheme="minorHAnsi"/>
          <w:b/>
          <w:bCs/>
          <w:sz w:val="20"/>
          <w:szCs w:val="20"/>
        </w:rPr>
      </w:pPr>
      <w:r>
        <w:rPr>
          <w:rFonts w:asciiTheme="minorHAnsi" w:eastAsiaTheme="minorHAnsi" w:hAnsiTheme="minorHAnsi"/>
          <w:b/>
          <w:bCs/>
          <w:noProof/>
          <w:sz w:val="20"/>
          <w:szCs w:val="20"/>
        </w:rPr>
        <w:drawing>
          <wp:inline distT="0" distB="0" distL="0" distR="0" wp14:anchorId="119C934E" wp14:editId="21B0A6FA">
            <wp:extent cx="5568950" cy="2952750"/>
            <wp:effectExtent l="0" t="0" r="0" b="0"/>
            <wp:docPr id="20901277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8950" cy="2952750"/>
                    </a:xfrm>
                    <a:prstGeom prst="rect">
                      <a:avLst/>
                    </a:prstGeom>
                    <a:noFill/>
                    <a:ln>
                      <a:noFill/>
                    </a:ln>
                  </pic:spPr>
                </pic:pic>
              </a:graphicData>
            </a:graphic>
          </wp:inline>
        </w:drawing>
      </w:r>
    </w:p>
    <w:p w14:paraId="0C9876F3"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[그림 1] USDT·USDC 가격 시계열 &amp; 이벤트 분포 및 공시 품질지수 추이</w:t>
      </w:r>
    </w:p>
    <w:p w14:paraId="5017F981" w14:textId="77777777" w:rsidR="00D254D6" w:rsidRPr="005D3E2B" w:rsidRDefault="00D254D6" w:rsidP="005D3E2B">
      <w:pPr>
        <w:spacing w:line="360" w:lineRule="auto"/>
        <w:rPr>
          <w:rFonts w:asciiTheme="minorHAnsi" w:eastAsiaTheme="minorHAnsi" w:hAnsiTheme="minorHAnsi"/>
          <w:sz w:val="18"/>
          <w:szCs w:val="18"/>
        </w:rPr>
      </w:pPr>
      <w:r>
        <w:rPr>
          <w:rFonts w:asciiTheme="minorHAnsi" w:eastAsiaTheme="minorHAnsi" w:hAnsiTheme="minorHAnsi"/>
          <w:sz w:val="18"/>
          <w:szCs w:val="18"/>
        </w:rPr>
        <w:t>주: 상단 패널은 USDT(파란선)와 USDC(주황선)의 일별 가격 추이를 나타낸다. 수직선은 이벤트 유형을 표시하며, 녹색은 긍정 이벤트, 회색은 중립 이벤트, 붉은 점선은 부정 이벤트를 의미한다. 하단 패널은 공시 품질지수의 추이를 나타낸다. 2023년 3월 USDC의 급락은 SVB 파산 이벤트에 해당한다.</w:t>
      </w:r>
    </w:p>
    <w:p w14:paraId="42CBB0AA" w14:textId="77777777" w:rsidR="00520050" w:rsidRPr="005D3E2B" w:rsidRDefault="00520050" w:rsidP="005D3E2B">
      <w:pPr>
        <w:spacing w:line="360" w:lineRule="auto"/>
        <w:rPr>
          <w:rFonts w:asciiTheme="minorHAnsi" w:eastAsiaTheme="minorHAnsi" w:hAnsiTheme="minorHAnsi"/>
          <w:sz w:val="20"/>
          <w:szCs w:val="20"/>
        </w:rPr>
      </w:pPr>
    </w:p>
    <w:p w14:paraId="1B454BB1"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lastRenderedPageBreak/>
        <w:t>2. H1 검정: 이벤트창별 평균 CAR</w:t>
      </w:r>
    </w:p>
    <w:p w14:paraId="4C758849"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&lt;표 4&gt;와 &lt;그림 2&gt;는 H1 검정 결과를 제시한다. 주 분석 창인 CAR(</w:t>
      </w:r>
      <w:r>
        <w:rPr>
          <w:rFonts w:ascii="Cambria Math" w:eastAsiaTheme="minorHAnsi" w:hAnsi="Cambria Math" w:cs="Cambria Math"/>
          <w:sz w:val="20"/>
          <w:szCs w:val="20"/>
        </w:rPr>
        <w:t>−</w:t>
      </w:r>
      <w:r>
        <w:rPr>
          <w:rFonts w:asciiTheme="minorHAnsi" w:eastAsiaTheme="minorHAnsi" w:hAnsiTheme="minorHAnsi"/>
          <w:sz w:val="20"/>
          <w:szCs w:val="20"/>
        </w:rPr>
        <w:t>5,+5) 기준에서 USDT는 평균 +0.254%(t=0.207, p=0.839), USDC는 +0.408%(t=0.583, p=0.578)로 나타나, 두 자산 모두 평균 CAR이 0과 통계적으로 유의하게 다르지 않은 것으로 확인되었다. 부트스트랩 95% 신뢰구간 역시 USDT [</w:t>
      </w:r>
      <w:r>
        <w:rPr>
          <w:rFonts w:ascii="Cambria Math" w:eastAsiaTheme="minorHAnsi" w:hAnsi="Cambria Math" w:cs="Cambria Math"/>
          <w:sz w:val="20"/>
          <w:szCs w:val="20"/>
        </w:rPr>
        <w:t>−</w:t>
      </w:r>
      <w:r>
        <w:rPr>
          <w:rFonts w:asciiTheme="minorHAnsi" w:eastAsiaTheme="minorHAnsi" w:hAnsiTheme="minorHAnsi"/>
          <w:sz w:val="20"/>
          <w:szCs w:val="20"/>
        </w:rPr>
        <w:t>2.05, +2.64]%, USDC [</w:t>
      </w:r>
      <w:r>
        <w:rPr>
          <w:rFonts w:ascii="Cambria Math" w:eastAsiaTheme="minorHAnsi" w:hAnsi="Cambria Math" w:cs="Cambria Math"/>
          <w:sz w:val="20"/>
          <w:szCs w:val="20"/>
        </w:rPr>
        <w:t>−</w:t>
      </w:r>
      <w:r>
        <w:rPr>
          <w:rFonts w:asciiTheme="minorHAnsi" w:eastAsiaTheme="minorHAnsi" w:hAnsiTheme="minorHAnsi"/>
          <w:sz w:val="20"/>
          <w:szCs w:val="20"/>
        </w:rPr>
        <w:t>0.98, +1.61]%로 0을 포함하고 있어, t검정 결과와 동일한 결론을 뒷받침한다. 따라서 H1에 대한 통계적 지지는 확인되지 않는다.</w:t>
      </w:r>
    </w:p>
    <w:p w14:paraId="53FA4132"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 xml:space="preserve">&lt;그림 2&gt;의 USDT 패널에서는 공시일(τ=0) 직전 CAR이 약 </w:t>
      </w:r>
      <w:r>
        <w:rPr>
          <w:rFonts w:ascii="Cambria Math" w:eastAsiaTheme="minorHAnsi" w:hAnsi="Cambria Math" w:cs="Cambria Math"/>
          <w:sz w:val="20"/>
          <w:szCs w:val="20"/>
        </w:rPr>
        <w:t>−</w:t>
      </w:r>
      <w:r>
        <w:rPr>
          <w:rFonts w:asciiTheme="minorHAnsi" w:eastAsiaTheme="minorHAnsi" w:hAnsiTheme="minorHAnsi"/>
          <w:sz w:val="20"/>
          <w:szCs w:val="20"/>
        </w:rPr>
        <w:t>5% 수준까지 하락한 이후 반등하는 패턴이 관찰된다. 이는 정기 분기 공시와 같이 사전에 예측 가능한 이벤트의 경우 투자자들의 포지션 조정이 선행될 수 있음을 시사하는 결과로 볼 수 있다.</w:t>
      </w:r>
    </w:p>
    <w:p w14:paraId="42A3EB7D"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한편, USDC의 경우 CAR(</w:t>
      </w:r>
      <w:r>
        <w:rPr>
          <w:rFonts w:ascii="Cambria Math" w:eastAsiaTheme="minorHAnsi" w:hAnsi="Cambria Math" w:cs="Cambria Math"/>
          <w:sz w:val="20"/>
          <w:szCs w:val="20"/>
        </w:rPr>
        <w:t>−</w:t>
      </w:r>
      <w:r>
        <w:rPr>
          <w:rFonts w:asciiTheme="minorHAnsi" w:eastAsiaTheme="minorHAnsi" w:hAnsiTheme="minorHAnsi"/>
          <w:sz w:val="20"/>
          <w:szCs w:val="20"/>
        </w:rPr>
        <w:t>10,+10) 창에서 t검정(p=0.114)은 유의하지 않으나, 부트스트랩 95% 신뢰구간은 [</w:t>
      </w:r>
      <w:r>
        <w:rPr>
          <w:rFonts w:ascii="Cambria Math" w:eastAsiaTheme="minorHAnsi" w:hAnsi="Cambria Math" w:cs="Cambria Math"/>
          <w:sz w:val="20"/>
          <w:szCs w:val="20"/>
        </w:rPr>
        <w:t>−</w:t>
      </w:r>
      <w:r>
        <w:rPr>
          <w:rFonts w:asciiTheme="minorHAnsi" w:eastAsiaTheme="minorHAnsi" w:hAnsiTheme="minorHAnsi"/>
          <w:sz w:val="20"/>
          <w:szCs w:val="20"/>
        </w:rPr>
        <w:t xml:space="preserve">10.29, </w:t>
      </w:r>
      <w:r>
        <w:rPr>
          <w:rFonts w:ascii="Cambria Math" w:eastAsiaTheme="minorHAnsi" w:hAnsi="Cambria Math" w:cs="Cambria Math"/>
          <w:sz w:val="20"/>
          <w:szCs w:val="20"/>
        </w:rPr>
        <w:t>−</w:t>
      </w:r>
      <w:r>
        <w:rPr>
          <w:rFonts w:asciiTheme="minorHAnsi" w:eastAsiaTheme="minorHAnsi" w:hAnsiTheme="minorHAnsi"/>
          <w:sz w:val="20"/>
          <w:szCs w:val="20"/>
        </w:rPr>
        <w:t>0.77]%로 0을 포함하지 않아 두 검정 간 불일치가 나타난다. 이러한 결과는 USDC(N=8)의 소표본 특성과 SVB 이벤트(</w:t>
      </w:r>
      <w:r>
        <w:rPr>
          <w:rFonts w:ascii="Cambria Math" w:eastAsiaTheme="minorHAnsi" w:hAnsi="Cambria Math" w:cs="Cambria Math"/>
          <w:sz w:val="20"/>
          <w:szCs w:val="20"/>
        </w:rPr>
        <w:t>−</w:t>
      </w:r>
      <w:r>
        <w:rPr>
          <w:rFonts w:asciiTheme="minorHAnsi" w:eastAsiaTheme="minorHAnsi" w:hAnsiTheme="minorHAnsi"/>
          <w:sz w:val="20"/>
          <w:szCs w:val="20"/>
        </w:rPr>
        <w:t>287.73%)에서 발생한 극단값이 분포의 비대칭성을 확대시킨 데 기인한 것으로 해석된다. 따라서 본 연구의 해석 기준에 따라 부트스트랩 결과를 우선할 경우, 중기 이벤트 창에서 음(</w:t>
      </w:r>
      <w:r>
        <w:rPr>
          <w:rFonts w:ascii="Cambria Math" w:eastAsiaTheme="minorHAnsi" w:hAnsi="Cambria Math" w:cs="Cambria Math"/>
          <w:sz w:val="20"/>
          <w:szCs w:val="20"/>
        </w:rPr>
        <w:t>−</w:t>
      </w:r>
      <w:r>
        <w:rPr>
          <w:rFonts w:asciiTheme="minorHAnsi" w:eastAsiaTheme="minorHAnsi" w:hAnsiTheme="minorHAnsi"/>
          <w:sz w:val="20"/>
          <w:szCs w:val="20"/>
        </w:rPr>
        <w:t>)의 방향성이 존재할 가능성을 시사하나, 표본 크기와 이상치 민감성을 고려할 때 신중한 해석이 요구된다.</w:t>
      </w:r>
    </w:p>
    <w:p w14:paraId="258DE976" w14:textId="77777777" w:rsidR="00520050" w:rsidRPr="005D3E2B" w:rsidRDefault="00520050" w:rsidP="005D3E2B">
      <w:pPr>
        <w:spacing w:line="360" w:lineRule="auto"/>
        <w:rPr>
          <w:rFonts w:asciiTheme="minorHAnsi" w:eastAsiaTheme="minorHAnsi" w:hAnsiTheme="minorHAnsi"/>
          <w:sz w:val="20"/>
          <w:szCs w:val="20"/>
        </w:rPr>
      </w:pPr>
    </w:p>
    <w:p w14:paraId="50421F8B"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&lt;표 4&gt; H1 검정 결과: 이벤트창별 평균 CAR</w:t>
      </w:r>
    </w:p>
    <w:tbl>
      <w:tblPr>
        <w:tblW w:w="8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546"/>
        <w:gridCol w:w="1387"/>
        <w:gridCol w:w="1156"/>
        <w:gridCol w:w="1051"/>
        <w:gridCol w:w="2018"/>
        <w:gridCol w:w="1787"/>
      </w:tblGrid>
      <w:tr w:rsidR="00520050" w:rsidRPr="005D3E2B" w14:paraId="73BF3E9D" w14:textId="77777777" w:rsidTr="005D3E2B">
        <w:trPr>
          <w:trHeight w:val="1044"/>
        </w:trPr>
        <w:tc>
          <w:tcPr>
            <w:tcW w:w="841"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13C102DF"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코인</w:t>
            </w:r>
          </w:p>
        </w:tc>
        <w:tc>
          <w:tcPr>
            <w:tcW w:w="546"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6E97E3A6"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N</w:t>
            </w:r>
          </w:p>
        </w:tc>
        <w:tc>
          <w:tcPr>
            <w:tcW w:w="1387"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40551D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평균 CAR(%)</w:t>
            </w:r>
          </w:p>
        </w:tc>
        <w:tc>
          <w:tcPr>
            <w:tcW w:w="1156"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6B2071C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t통계량</w:t>
            </w:r>
          </w:p>
        </w:tc>
        <w:tc>
          <w:tcPr>
            <w:tcW w:w="1051"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6BAAC2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p값</w:t>
            </w:r>
          </w:p>
        </w:tc>
        <w:tc>
          <w:tcPr>
            <w:tcW w:w="2018"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26A1BC5"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Boot. 95%CI</w:t>
            </w:r>
          </w:p>
        </w:tc>
        <w:tc>
          <w:tcPr>
            <w:tcW w:w="1787"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4BB82DBB"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이벤트창</w:t>
            </w:r>
          </w:p>
        </w:tc>
      </w:tr>
      <w:tr w:rsidR="00520050" w:rsidRPr="005D3E2B" w14:paraId="34588D2E" w14:textId="77777777" w:rsidTr="005D3E2B">
        <w:trPr>
          <w:trHeight w:val="522"/>
        </w:trPr>
        <w:tc>
          <w:tcPr>
            <w:tcW w:w="84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AD20B85"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USDT</w:t>
            </w:r>
          </w:p>
        </w:tc>
        <w:tc>
          <w:tcPr>
            <w:tcW w:w="54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71091CF"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19</w:t>
            </w:r>
          </w:p>
        </w:tc>
        <w:tc>
          <w:tcPr>
            <w:tcW w:w="13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B67749"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+0.924</w:t>
            </w:r>
          </w:p>
        </w:tc>
        <w:tc>
          <w:tcPr>
            <w:tcW w:w="11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00AF121"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1.565</w:t>
            </w:r>
          </w:p>
        </w:tc>
        <w:tc>
          <w:tcPr>
            <w:tcW w:w="105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D14F03"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0.135</w:t>
            </w:r>
          </w:p>
        </w:tc>
        <w:tc>
          <w:tcPr>
            <w:tcW w:w="201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ED0FFA2"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[-0.17, +2.11]</w:t>
            </w:r>
          </w:p>
        </w:tc>
        <w:tc>
          <w:tcPr>
            <w:tcW w:w="17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2EB9FA6"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CAR(-1,+1)</w:t>
            </w:r>
          </w:p>
        </w:tc>
      </w:tr>
      <w:tr w:rsidR="00520050" w:rsidRPr="005D3E2B" w14:paraId="5DCDC96D" w14:textId="77777777" w:rsidTr="005D3E2B">
        <w:trPr>
          <w:trHeight w:val="522"/>
        </w:trPr>
        <w:tc>
          <w:tcPr>
            <w:tcW w:w="84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42CEA7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USDC</w:t>
            </w:r>
          </w:p>
        </w:tc>
        <w:tc>
          <w:tcPr>
            <w:tcW w:w="54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A2AA48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8</w:t>
            </w:r>
          </w:p>
        </w:tc>
        <w:tc>
          <w:tcPr>
            <w:tcW w:w="13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0F6A0B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-36.258†</w:t>
            </w:r>
          </w:p>
        </w:tc>
        <w:tc>
          <w:tcPr>
            <w:tcW w:w="11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08065DF"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-1.009</w:t>
            </w:r>
          </w:p>
        </w:tc>
        <w:tc>
          <w:tcPr>
            <w:tcW w:w="105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8D0EA3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0.346</w:t>
            </w:r>
          </w:p>
        </w:tc>
        <w:tc>
          <w:tcPr>
            <w:tcW w:w="201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B6F1EA"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[-108.38, +0.33]</w:t>
            </w:r>
          </w:p>
        </w:tc>
        <w:tc>
          <w:tcPr>
            <w:tcW w:w="17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26B69F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CAR(-1,+1)</w:t>
            </w:r>
          </w:p>
        </w:tc>
      </w:tr>
      <w:tr w:rsidR="00520050" w:rsidRPr="005D3E2B" w14:paraId="0F493DE3" w14:textId="77777777" w:rsidTr="005D3E2B">
        <w:trPr>
          <w:trHeight w:val="522"/>
        </w:trPr>
        <w:tc>
          <w:tcPr>
            <w:tcW w:w="84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AB5557B"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USDT</w:t>
            </w:r>
          </w:p>
        </w:tc>
        <w:tc>
          <w:tcPr>
            <w:tcW w:w="54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99D2553"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19</w:t>
            </w:r>
          </w:p>
        </w:tc>
        <w:tc>
          <w:tcPr>
            <w:tcW w:w="13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CADD297"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+1.083</w:t>
            </w:r>
          </w:p>
        </w:tc>
        <w:tc>
          <w:tcPr>
            <w:tcW w:w="11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374EB35"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0.652</w:t>
            </w:r>
          </w:p>
        </w:tc>
        <w:tc>
          <w:tcPr>
            <w:tcW w:w="105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7702FF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0.522</w:t>
            </w:r>
          </w:p>
        </w:tc>
        <w:tc>
          <w:tcPr>
            <w:tcW w:w="201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5EBE24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[-1.83, +4.45]</w:t>
            </w:r>
          </w:p>
        </w:tc>
        <w:tc>
          <w:tcPr>
            <w:tcW w:w="17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5559531"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CAR(-3,+3)</w:t>
            </w:r>
          </w:p>
        </w:tc>
      </w:tr>
      <w:tr w:rsidR="00520050" w:rsidRPr="005D3E2B" w14:paraId="17E5A5D2" w14:textId="77777777" w:rsidTr="005D3E2B">
        <w:trPr>
          <w:trHeight w:val="522"/>
        </w:trPr>
        <w:tc>
          <w:tcPr>
            <w:tcW w:w="84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7D7F314"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USDC</w:t>
            </w:r>
          </w:p>
        </w:tc>
        <w:tc>
          <w:tcPr>
            <w:tcW w:w="54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294EFE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8</w:t>
            </w:r>
          </w:p>
        </w:tc>
        <w:tc>
          <w:tcPr>
            <w:tcW w:w="13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6C530A4"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+0.234</w:t>
            </w:r>
          </w:p>
        </w:tc>
        <w:tc>
          <w:tcPr>
            <w:tcW w:w="11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5E7B96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0.124</w:t>
            </w:r>
          </w:p>
        </w:tc>
        <w:tc>
          <w:tcPr>
            <w:tcW w:w="105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BF98C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0.905</w:t>
            </w:r>
          </w:p>
        </w:tc>
        <w:tc>
          <w:tcPr>
            <w:tcW w:w="201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253E7C6"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[-3.37, +3.44]</w:t>
            </w:r>
          </w:p>
        </w:tc>
        <w:tc>
          <w:tcPr>
            <w:tcW w:w="17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7EF7197"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CAR(-3,+3)</w:t>
            </w:r>
          </w:p>
        </w:tc>
      </w:tr>
      <w:tr w:rsidR="00520050" w:rsidRPr="005D3E2B" w14:paraId="2D34251D" w14:textId="77777777" w:rsidTr="005D3E2B">
        <w:trPr>
          <w:trHeight w:val="522"/>
        </w:trPr>
        <w:tc>
          <w:tcPr>
            <w:tcW w:w="841"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6017155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lastRenderedPageBreak/>
              <w:t>USDT</w:t>
            </w:r>
          </w:p>
        </w:tc>
        <w:tc>
          <w:tcPr>
            <w:tcW w:w="546"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709AC9A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19</w:t>
            </w:r>
          </w:p>
        </w:tc>
        <w:tc>
          <w:tcPr>
            <w:tcW w:w="1387"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7D37E396"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+0.254</w:t>
            </w:r>
          </w:p>
        </w:tc>
        <w:tc>
          <w:tcPr>
            <w:tcW w:w="1156"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6422E781"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0.207</w:t>
            </w:r>
          </w:p>
        </w:tc>
        <w:tc>
          <w:tcPr>
            <w:tcW w:w="1051"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2A181D0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0.839</w:t>
            </w:r>
          </w:p>
        </w:tc>
        <w:tc>
          <w:tcPr>
            <w:tcW w:w="2018"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7A1D5A5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[-2.05, +2.64]</w:t>
            </w:r>
          </w:p>
        </w:tc>
        <w:tc>
          <w:tcPr>
            <w:tcW w:w="1787"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5320D264"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CAR(-5,+5) ★</w:t>
            </w:r>
          </w:p>
        </w:tc>
      </w:tr>
      <w:tr w:rsidR="00520050" w:rsidRPr="005D3E2B" w14:paraId="02E06600" w14:textId="77777777" w:rsidTr="005D3E2B">
        <w:trPr>
          <w:trHeight w:val="522"/>
        </w:trPr>
        <w:tc>
          <w:tcPr>
            <w:tcW w:w="841"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44809AC2"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USDC</w:t>
            </w:r>
          </w:p>
        </w:tc>
        <w:tc>
          <w:tcPr>
            <w:tcW w:w="546"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14BDDA6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8</w:t>
            </w:r>
          </w:p>
        </w:tc>
        <w:tc>
          <w:tcPr>
            <w:tcW w:w="1387"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527121D2"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+0.408</w:t>
            </w:r>
          </w:p>
        </w:tc>
        <w:tc>
          <w:tcPr>
            <w:tcW w:w="1156"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592B652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0.583</w:t>
            </w:r>
          </w:p>
        </w:tc>
        <w:tc>
          <w:tcPr>
            <w:tcW w:w="1051"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70D490A3"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0.578</w:t>
            </w:r>
          </w:p>
        </w:tc>
        <w:tc>
          <w:tcPr>
            <w:tcW w:w="2018"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25BDA6A4"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[-0.98, +1.61]</w:t>
            </w:r>
          </w:p>
        </w:tc>
        <w:tc>
          <w:tcPr>
            <w:tcW w:w="1787"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77AEAAE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CAR(-5,+5) ★</w:t>
            </w:r>
          </w:p>
        </w:tc>
      </w:tr>
      <w:tr w:rsidR="00520050" w:rsidRPr="005D3E2B" w14:paraId="2EDA402E" w14:textId="77777777" w:rsidTr="005D3E2B">
        <w:trPr>
          <w:trHeight w:val="522"/>
        </w:trPr>
        <w:tc>
          <w:tcPr>
            <w:tcW w:w="84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5B5B316"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USDT</w:t>
            </w:r>
          </w:p>
        </w:tc>
        <w:tc>
          <w:tcPr>
            <w:tcW w:w="54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6A44FD3"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19</w:t>
            </w:r>
          </w:p>
        </w:tc>
        <w:tc>
          <w:tcPr>
            <w:tcW w:w="13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89733BB"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-0.149</w:t>
            </w:r>
          </w:p>
        </w:tc>
        <w:tc>
          <w:tcPr>
            <w:tcW w:w="11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BA8843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-0.062</w:t>
            </w:r>
          </w:p>
        </w:tc>
        <w:tc>
          <w:tcPr>
            <w:tcW w:w="105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AE538C6"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0.951</w:t>
            </w:r>
          </w:p>
        </w:tc>
        <w:tc>
          <w:tcPr>
            <w:tcW w:w="201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6BFFB5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[-4.89, +4.34]</w:t>
            </w:r>
          </w:p>
        </w:tc>
        <w:tc>
          <w:tcPr>
            <w:tcW w:w="17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E1B0D4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CAR(-10,+10)</w:t>
            </w:r>
          </w:p>
        </w:tc>
      </w:tr>
      <w:tr w:rsidR="00520050" w:rsidRPr="005D3E2B" w14:paraId="0D1E13D1" w14:textId="77777777" w:rsidTr="005D3E2B">
        <w:trPr>
          <w:trHeight w:val="532"/>
        </w:trPr>
        <w:tc>
          <w:tcPr>
            <w:tcW w:w="84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5DCEC32"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USDC</w:t>
            </w:r>
          </w:p>
        </w:tc>
        <w:tc>
          <w:tcPr>
            <w:tcW w:w="54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75DF895"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8</w:t>
            </w:r>
          </w:p>
        </w:tc>
        <w:tc>
          <w:tcPr>
            <w:tcW w:w="13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B162B5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-4.838</w:t>
            </w:r>
          </w:p>
        </w:tc>
        <w:tc>
          <w:tcPr>
            <w:tcW w:w="11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C8A9AA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-1.808</w:t>
            </w:r>
          </w:p>
        </w:tc>
        <w:tc>
          <w:tcPr>
            <w:tcW w:w="105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C5CBD6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0.114</w:t>
            </w:r>
          </w:p>
        </w:tc>
        <w:tc>
          <w:tcPr>
            <w:tcW w:w="201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CDB2177"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[-10.29, -0.77]‡</w:t>
            </w:r>
          </w:p>
        </w:tc>
        <w:tc>
          <w:tcPr>
            <w:tcW w:w="1787"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D9F8E2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CAR(-10,+10)</w:t>
            </w:r>
          </w:p>
        </w:tc>
      </w:tr>
    </w:tbl>
    <w:p w14:paraId="55EAE6A2" w14:textId="77777777" w:rsidR="00D254D6" w:rsidRPr="005D3E2B" w:rsidRDefault="00D254D6" w:rsidP="005D3E2B">
      <w:pPr>
        <w:spacing w:line="360" w:lineRule="auto"/>
        <w:rPr>
          <w:rFonts w:asciiTheme="minorHAnsi" w:eastAsiaTheme="minorHAnsi" w:hAnsiTheme="minorHAnsi"/>
          <w:sz w:val="18"/>
          <w:szCs w:val="18"/>
        </w:rPr>
      </w:pPr>
      <w:r>
        <w:rPr>
          <w:rFonts w:asciiTheme="minorHAnsi" w:eastAsiaTheme="minorHAnsi" w:hAnsiTheme="minorHAnsi"/>
          <w:sz w:val="18"/>
          <w:szCs w:val="18"/>
        </w:rPr>
        <w:t>주: ★는 주 분석 창을 의미한다. †는 SVB 이벤트를 제외할 경우의 값이며, ‡는 부트스트랩 신뢰구간이 0을 포함하지 않음을 의미한다. 단, 소표본 및 비대칭 분포의 특성을 고려하여 본 연구에서는 부트스트랩 결과를 우선적으로 해석하였다. 단위는 %이며, 1%는 100bp에 해당한다.</w:t>
      </w:r>
    </w:p>
    <w:p w14:paraId="2F9EA70D" w14:textId="77777777" w:rsidR="00F109A3" w:rsidRPr="005D3E2B" w:rsidRDefault="00F109A3" w:rsidP="005D3E2B">
      <w:pPr>
        <w:spacing w:before="80" w:after="120" w:line="360" w:lineRule="auto"/>
        <w:jc w:val="center"/>
        <w:rPr>
          <w:rFonts w:asciiTheme="minorHAnsi" w:eastAsiaTheme="minorHAnsi" w:hAnsiTheme="minorHAnsi"/>
          <w:b/>
          <w:bCs/>
          <w:sz w:val="20"/>
          <w:szCs w:val="20"/>
        </w:rPr>
      </w:pPr>
    </w:p>
    <w:p w14:paraId="747B5B29" w14:textId="77777777" w:rsidR="00F109A3" w:rsidRPr="005D3E2B" w:rsidRDefault="00F109A3" w:rsidP="005D3E2B">
      <w:pPr>
        <w:spacing w:before="80" w:after="120" w:line="360" w:lineRule="auto"/>
        <w:jc w:val="center"/>
        <w:rPr>
          <w:rFonts w:asciiTheme="minorHAnsi" w:eastAsiaTheme="minorHAnsi" w:hAnsiTheme="minorHAnsi"/>
          <w:b/>
          <w:bCs/>
          <w:sz w:val="20"/>
          <w:szCs w:val="20"/>
        </w:rPr>
      </w:pPr>
      <w:r>
        <w:rPr>
          <w:rFonts w:asciiTheme="minorHAnsi" w:eastAsiaTheme="minorHAnsi" w:hAnsiTheme="minorHAnsi"/>
          <w:b/>
          <w:bCs/>
          <w:noProof/>
          <w:sz w:val="20"/>
          <w:szCs w:val="20"/>
        </w:rPr>
        <w:drawing>
          <wp:inline distT="0" distB="0" distL="0" distR="0" wp14:anchorId="69111014" wp14:editId="245D130D">
            <wp:extent cx="5575300" cy="1962150"/>
            <wp:effectExtent l="0" t="0" r="6350" b="0"/>
            <wp:docPr id="58692058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5300" cy="1962150"/>
                    </a:xfrm>
                    <a:prstGeom prst="rect">
                      <a:avLst/>
                    </a:prstGeom>
                    <a:noFill/>
                    <a:ln>
                      <a:noFill/>
                    </a:ln>
                  </pic:spPr>
                </pic:pic>
              </a:graphicData>
            </a:graphic>
          </wp:inline>
        </w:drawing>
      </w:r>
    </w:p>
    <w:p w14:paraId="3B653200"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[그림 2] 공시일 전후 평균 CAR 추이 (τ∈[</w:t>
      </w:r>
      <w:r>
        <w:rPr>
          <w:rFonts w:ascii="Cambria Math" w:eastAsiaTheme="minorHAnsi" w:hAnsi="Cambria Math" w:cs="Cambria Math"/>
          <w:b/>
          <w:bCs/>
          <w:sz w:val="20"/>
          <w:szCs w:val="20"/>
        </w:rPr>
        <w:t>−</w:t>
      </w:r>
      <w:r>
        <w:rPr>
          <w:rFonts w:asciiTheme="minorHAnsi" w:eastAsiaTheme="minorHAnsi" w:hAnsiTheme="minorHAnsi"/>
          <w:b/>
          <w:bCs/>
          <w:sz w:val="20"/>
          <w:szCs w:val="20"/>
        </w:rPr>
        <w:t>10, +10])</w:t>
      </w:r>
    </w:p>
    <w:p w14:paraId="343BF873" w14:textId="77777777" w:rsidR="00D254D6" w:rsidRPr="005D3E2B" w:rsidRDefault="00D254D6" w:rsidP="005D3E2B">
      <w:pPr>
        <w:spacing w:line="360" w:lineRule="auto"/>
        <w:rPr>
          <w:rFonts w:asciiTheme="minorHAnsi" w:eastAsiaTheme="minorHAnsi" w:hAnsiTheme="minorHAnsi"/>
          <w:sz w:val="18"/>
          <w:szCs w:val="18"/>
        </w:rPr>
      </w:pPr>
      <w:r>
        <w:rPr>
          <w:rFonts w:asciiTheme="minorHAnsi" w:eastAsiaTheme="minorHAnsi" w:hAnsiTheme="minorHAnsi"/>
          <w:sz w:val="18"/>
          <w:szCs w:val="18"/>
        </w:rPr>
        <w:t>주: 좌측 패널은 USDT(N=19), 우측 패널은 USDC(N=8, SVB 이벤트 포함)를 나타낸다. 음영 영역은 ±1.96×표준오차 기준의 95% 신뢰구간이며, 붉은 점선은 공시일(τ=0)을 의미한다.</w:t>
      </w:r>
    </w:p>
    <w:p w14:paraId="7BB7346E" w14:textId="77777777" w:rsidR="00520050" w:rsidRPr="005D3E2B" w:rsidRDefault="00520050" w:rsidP="005D3E2B">
      <w:pPr>
        <w:spacing w:line="360" w:lineRule="auto"/>
        <w:rPr>
          <w:rFonts w:asciiTheme="minorHAnsi" w:eastAsiaTheme="minorHAnsi" w:hAnsiTheme="minorHAnsi"/>
          <w:sz w:val="20"/>
          <w:szCs w:val="20"/>
        </w:rPr>
      </w:pPr>
    </w:p>
    <w:p w14:paraId="3E636C4D"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3. H2 검정: 공시 품질지수와 CAR</w:t>
      </w:r>
    </w:p>
    <w:p w14:paraId="073EA80F"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공시 품질지수와 이벤트 유형이 CAR에 미치는 영향을 &lt;표 5&gt;와 &lt;그림 3&gt;에 제시한다. 주 분석 창인 CAR(</w:t>
      </w:r>
      <w:r>
        <w:rPr>
          <w:rFonts w:ascii="Cambria Math" w:eastAsiaTheme="minorHAnsi" w:hAnsi="Cambria Math" w:cs="Cambria Math"/>
          <w:sz w:val="20"/>
          <w:szCs w:val="20"/>
        </w:rPr>
        <w:t>−</w:t>
      </w:r>
      <w:r>
        <w:rPr>
          <w:rFonts w:asciiTheme="minorHAnsi" w:eastAsiaTheme="minorHAnsi" w:hAnsiTheme="minorHAnsi"/>
          <w:sz w:val="20"/>
          <w:szCs w:val="20"/>
        </w:rPr>
        <w:t>5,+5) 기준에서 quality_score 계수는 +1.57bp(t=1.406, p=0.160)로 추정되어 이론적 예측 방향(양수)과는 일치하였으나, 통계적으로 유의한 수준에는 도달하지 못하였다. 이는 공시 품질지수가 1점 증가할 때 CAR이 평균적으로 약 1.57bp 증가하는 경향이 있음을 시사하나, 본 표본</w:t>
      </w:r>
      <w:r>
        <w:rPr>
          <w:rFonts w:asciiTheme="minorHAnsi" w:eastAsiaTheme="minorHAnsi" w:hAnsiTheme="minorHAnsi"/>
          <w:sz w:val="20"/>
          <w:szCs w:val="20"/>
        </w:rPr>
        <w:lastRenderedPageBreak/>
        <w:t>에서는 이를 확정적으로 뒷받침할 증거는 제한적임을 의미한다.</w:t>
      </w:r>
    </w:p>
    <w:p w14:paraId="09C1F203"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negative 더미 변수는 +7.10bp(t=1.676, p=0.094)로 10% 유의수준에서 경계적 유의성을 보였다. 이는 부정적 이벤트 상황에서 CAR이 상대적으로 증가하는 패턴과 정합적이며, 시장 불안 국면에서 스테이블코인으로 자금이 유입되는 도피처 효과 가능성을 시사하는 결과로 해석될 수 있다. 다만 통계적 유의성이 제한적이므로 해석에는 신중함이 요구된다.</w:t>
      </w:r>
    </w:p>
    <w:p w14:paraId="706E1728"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 xml:space="preserve">반면 is_usdc 계수는 </w:t>
      </w:r>
      <w:r>
        <w:rPr>
          <w:rFonts w:ascii="Cambria Math" w:eastAsiaTheme="minorHAnsi" w:hAnsi="Cambria Math" w:cs="Cambria Math"/>
          <w:sz w:val="20"/>
          <w:szCs w:val="20"/>
        </w:rPr>
        <w:t>−</w:t>
      </w:r>
      <w:r>
        <w:rPr>
          <w:rFonts w:asciiTheme="minorHAnsi" w:eastAsiaTheme="minorHAnsi" w:hAnsiTheme="minorHAnsi"/>
          <w:sz w:val="20"/>
          <w:szCs w:val="20"/>
        </w:rPr>
        <w:t>0.99bp(p=0.641)로 통계적으로 유의하지 않아, 코인 유형에 따른 평균 CAR의 차이를 확인하지는 못하였다. 따라서 H2에 대해서는 공시 품질지수와 CAR 간의 유의한 관계를 확인하지 못한 것으로 판단된다.</w:t>
      </w:r>
    </w:p>
    <w:p w14:paraId="4A7B50F7" w14:textId="77777777" w:rsidR="00D254D6" w:rsidRPr="005D3E2B" w:rsidRDefault="00D254D6"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 xml:space="preserve">설명력 측면에서 R²는 0.109이며 수정된 R²는 </w:t>
      </w:r>
      <w:r>
        <w:rPr>
          <w:rFonts w:ascii="Cambria Math" w:eastAsiaTheme="minorHAnsi" w:hAnsi="Cambria Math" w:cs="Cambria Math"/>
          <w:sz w:val="20"/>
          <w:szCs w:val="20"/>
        </w:rPr>
        <w:t>−</w:t>
      </w:r>
      <w:r>
        <w:rPr>
          <w:rFonts w:asciiTheme="minorHAnsi" w:eastAsiaTheme="minorHAnsi" w:hAnsiTheme="minorHAnsi"/>
          <w:sz w:val="20"/>
          <w:szCs w:val="20"/>
        </w:rPr>
        <w:t>0.007로 나타나, 모형의 설명력이 제한적임을 시사한다. 또한 Durbin-Watson 통계량이 1.246으로 정상 범위(1.5~2.5)를 벗어나 자기상관 가능성이 확인됨에 따라 HAC(Newey-West) 표준오차를 적용하였다. 변수 간 다중공선성 여부를 확인한 결과, VIF 최댓값은 2.57(절편 제외 기준)로 일반적인 기준치 이하에 있어 다중공선성 문제는 없는 것으로 판단된다.</w:t>
      </w:r>
    </w:p>
    <w:p w14:paraId="77DE023F" w14:textId="77777777" w:rsidR="00520050" w:rsidRPr="005D3E2B" w:rsidRDefault="00520050" w:rsidP="005D3E2B">
      <w:pPr>
        <w:spacing w:line="360" w:lineRule="auto"/>
        <w:rPr>
          <w:rFonts w:asciiTheme="minorHAnsi" w:eastAsiaTheme="minorHAnsi" w:hAnsiTheme="minorHAnsi"/>
          <w:sz w:val="20"/>
          <w:szCs w:val="20"/>
        </w:rPr>
      </w:pPr>
    </w:p>
    <w:p w14:paraId="1B092805"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&lt;표 5&gt; H2 검정: OLS 횡단면 회귀분석</w:t>
      </w:r>
    </w:p>
    <w:tbl>
      <w:tblPr>
        <w:tblW w:w="8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3"/>
        <w:gridCol w:w="2365"/>
        <w:gridCol w:w="2365"/>
        <w:gridCol w:w="2366"/>
      </w:tblGrid>
      <w:tr w:rsidR="00520050" w:rsidRPr="005D3E2B" w14:paraId="3600B4DF" w14:textId="77777777" w:rsidTr="005D3E2B">
        <w:trPr>
          <w:trHeight w:val="520"/>
        </w:trPr>
        <w:tc>
          <w:tcPr>
            <w:tcW w:w="1713"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4951087B"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b/>
                <w:bCs/>
                <w:sz w:val="20"/>
                <w:szCs w:val="20"/>
              </w:rPr>
              <w:t>변수</w:t>
            </w:r>
          </w:p>
        </w:tc>
        <w:tc>
          <w:tcPr>
            <w:tcW w:w="2365"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44BF272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CAR(-1,+1)</w:t>
            </w:r>
          </w:p>
        </w:tc>
        <w:tc>
          <w:tcPr>
            <w:tcW w:w="2365"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744E0684"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CAR(-3,+3)</w:t>
            </w:r>
          </w:p>
        </w:tc>
        <w:tc>
          <w:tcPr>
            <w:tcW w:w="2366"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705CDFC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CAR(-5,+5) ★</w:t>
            </w:r>
          </w:p>
        </w:tc>
      </w:tr>
      <w:tr w:rsidR="00520050" w:rsidRPr="005D3E2B" w14:paraId="3513FB57" w14:textId="77777777" w:rsidTr="005D3E2B">
        <w:trPr>
          <w:trHeight w:val="1040"/>
        </w:trPr>
        <w:tc>
          <w:tcPr>
            <w:tcW w:w="171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427AD0C"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const</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267DA1"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-12.87bp (-0.611, p=0.541)</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CAE3BEB"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+3.05bp (+0.180, p=0.857)</w:t>
            </w:r>
          </w:p>
        </w:tc>
        <w:tc>
          <w:tcPr>
            <w:tcW w:w="236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33D6337"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-6.35bp (-1.783, p=0.075†)</w:t>
            </w:r>
          </w:p>
        </w:tc>
      </w:tr>
      <w:tr w:rsidR="00520050" w:rsidRPr="005D3E2B" w14:paraId="18AFF1BF" w14:textId="77777777" w:rsidTr="005D3E2B">
        <w:trPr>
          <w:trHeight w:val="1040"/>
        </w:trPr>
        <w:tc>
          <w:tcPr>
            <w:tcW w:w="171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A9E0196"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quality_score</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AAFAE2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+5.83bp (+0.768, p=0.443)</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0BA20F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-0.32bp (-0.086, p=0.932)</w:t>
            </w:r>
          </w:p>
        </w:tc>
        <w:tc>
          <w:tcPr>
            <w:tcW w:w="236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F902A34"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+1.57bp (+1.406, p=0.160)</w:t>
            </w:r>
          </w:p>
        </w:tc>
      </w:tr>
      <w:tr w:rsidR="00520050" w:rsidRPr="005D3E2B" w14:paraId="46784F5F" w14:textId="77777777" w:rsidTr="005D3E2B">
        <w:trPr>
          <w:trHeight w:val="1040"/>
        </w:trPr>
        <w:tc>
          <w:tcPr>
            <w:tcW w:w="171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0D9F299"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negative</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43C92A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-75.91bp (-0.763, p=0.445)</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2D1E31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-7.48bp (-0.528, p=0.598)</w:t>
            </w:r>
          </w:p>
        </w:tc>
        <w:tc>
          <w:tcPr>
            <w:tcW w:w="236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900959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+7.10bp (+1.676, p=0.094†)</w:t>
            </w:r>
          </w:p>
        </w:tc>
      </w:tr>
      <w:tr w:rsidR="00520050" w:rsidRPr="005D3E2B" w14:paraId="23508A71" w14:textId="77777777" w:rsidTr="005D3E2B">
        <w:trPr>
          <w:trHeight w:val="520"/>
        </w:trPr>
        <w:tc>
          <w:tcPr>
            <w:tcW w:w="171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089D737"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is_usdc</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3121B72"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-39.40bp (-0.942, p=0.346)</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8B39C5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-0.50bp (-0.209, p=0.835)</w:t>
            </w:r>
          </w:p>
        </w:tc>
        <w:tc>
          <w:tcPr>
            <w:tcW w:w="236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D806FD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-0.99bp (-0.466, p=0.641)</w:t>
            </w:r>
          </w:p>
        </w:tc>
      </w:tr>
      <w:tr w:rsidR="00520050" w:rsidRPr="005D3E2B" w14:paraId="2F27F094" w14:textId="77777777" w:rsidTr="005D3E2B">
        <w:trPr>
          <w:trHeight w:val="144"/>
        </w:trPr>
        <w:tc>
          <w:tcPr>
            <w:tcW w:w="171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DBCF04"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lastRenderedPageBreak/>
              <w:t>R² / Adj-R²</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2A1AE9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0.407 / 0.330‡</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FB46E91"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0.102 / -0.016</w:t>
            </w:r>
          </w:p>
        </w:tc>
        <w:tc>
          <w:tcPr>
            <w:tcW w:w="236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80266A1"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0.109 / -0.007</w:t>
            </w:r>
          </w:p>
        </w:tc>
      </w:tr>
      <w:tr w:rsidR="00520050" w:rsidRPr="005D3E2B" w14:paraId="4200816E" w14:textId="77777777" w:rsidTr="005D3E2B">
        <w:trPr>
          <w:trHeight w:val="144"/>
        </w:trPr>
        <w:tc>
          <w:tcPr>
            <w:tcW w:w="171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A45192F"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SE / Lag</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7E3FB7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HC3 / 5</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033B4F7"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HC3 / 5</w:t>
            </w:r>
          </w:p>
        </w:tc>
        <w:tc>
          <w:tcPr>
            <w:tcW w:w="236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AB2374F"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HAC / 5</w:t>
            </w:r>
          </w:p>
        </w:tc>
      </w:tr>
      <w:tr w:rsidR="00520050" w:rsidRPr="005D3E2B" w14:paraId="27413A58" w14:textId="77777777" w:rsidTr="005D3E2B">
        <w:trPr>
          <w:trHeight w:val="530"/>
        </w:trPr>
        <w:tc>
          <w:tcPr>
            <w:tcW w:w="1713"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872277D"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N</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E61A7A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27</w:t>
            </w:r>
          </w:p>
        </w:tc>
        <w:tc>
          <w:tcPr>
            <w:tcW w:w="2365"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36A5357"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27</w:t>
            </w:r>
          </w:p>
        </w:tc>
        <w:tc>
          <w:tcPr>
            <w:tcW w:w="236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10C12F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27</w:t>
            </w:r>
          </w:p>
        </w:tc>
      </w:tr>
    </w:tbl>
    <w:p w14:paraId="0C6811EC" w14:textId="77777777" w:rsidR="00D254D6" w:rsidRPr="005D3E2B" w:rsidRDefault="00D254D6" w:rsidP="005D3E2B">
      <w:pPr>
        <w:spacing w:line="360" w:lineRule="auto"/>
        <w:rPr>
          <w:rFonts w:asciiTheme="minorHAnsi" w:eastAsiaTheme="minorHAnsi" w:hAnsiTheme="minorHAnsi"/>
          <w:sz w:val="18"/>
          <w:szCs w:val="18"/>
        </w:rPr>
      </w:pPr>
      <w:r>
        <w:rPr>
          <w:rFonts w:asciiTheme="minorHAnsi" w:eastAsiaTheme="minorHAnsi" w:hAnsiTheme="minorHAnsi"/>
          <w:sz w:val="18"/>
          <w:szCs w:val="18"/>
        </w:rPr>
        <w:t>주: 각 셀에는 (t통계량, p값)이 제시된다. HC3 및 HAC 표준오차를 적용한 경우에도 소표본 특성을 고려하여 t분포 기준으로 통계량을 보고하였다. ★는 주 분석 창, †는 10% 유의수준의 경계적 유의성을 의미한다. ‡는 SVB 이상치 영향으로 R²가 과대 추정된 값을 나타낸다.</w:t>
      </w:r>
    </w:p>
    <w:p w14:paraId="0F8436F2" w14:textId="77777777" w:rsidR="00F109A3" w:rsidRPr="005D3E2B" w:rsidRDefault="00F109A3" w:rsidP="005D3E2B">
      <w:pPr>
        <w:spacing w:before="80" w:after="120" w:line="360" w:lineRule="auto"/>
        <w:rPr>
          <w:rFonts w:asciiTheme="minorHAnsi" w:eastAsiaTheme="minorHAnsi" w:hAnsiTheme="minorHAnsi"/>
          <w:b/>
          <w:bCs/>
          <w:sz w:val="20"/>
          <w:szCs w:val="20"/>
        </w:rPr>
      </w:pPr>
    </w:p>
    <w:p w14:paraId="5E3C9BD5" w14:textId="77777777" w:rsidR="00F109A3" w:rsidRPr="005D3E2B" w:rsidRDefault="00F109A3" w:rsidP="005D3E2B">
      <w:pPr>
        <w:spacing w:before="80" w:after="120" w:line="360" w:lineRule="auto"/>
        <w:jc w:val="center"/>
        <w:rPr>
          <w:rFonts w:asciiTheme="minorHAnsi" w:eastAsiaTheme="minorHAnsi" w:hAnsiTheme="minorHAnsi"/>
          <w:b/>
          <w:bCs/>
          <w:sz w:val="20"/>
          <w:szCs w:val="20"/>
        </w:rPr>
      </w:pPr>
      <w:r>
        <w:rPr>
          <w:rFonts w:asciiTheme="minorHAnsi" w:eastAsiaTheme="minorHAnsi" w:hAnsiTheme="minorHAnsi"/>
          <w:b/>
          <w:bCs/>
          <w:noProof/>
          <w:sz w:val="20"/>
          <w:szCs w:val="20"/>
        </w:rPr>
        <w:drawing>
          <wp:inline distT="0" distB="0" distL="0" distR="0" wp14:anchorId="6FB25625" wp14:editId="5AF5D79A">
            <wp:extent cx="5581650" cy="2292350"/>
            <wp:effectExtent l="0" t="0" r="0" b="0"/>
            <wp:docPr id="174911615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1650" cy="2292350"/>
                    </a:xfrm>
                    <a:prstGeom prst="rect">
                      <a:avLst/>
                    </a:prstGeom>
                    <a:noFill/>
                    <a:ln>
                      <a:noFill/>
                    </a:ln>
                  </pic:spPr>
                </pic:pic>
              </a:graphicData>
            </a:graphic>
          </wp:inline>
        </w:drawing>
      </w:r>
    </w:p>
    <w:p w14:paraId="563323E0"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[그림 3] 공시 품질지수 × CAR(</w:t>
      </w:r>
      <w:r>
        <w:rPr>
          <w:rFonts w:ascii="Cambria Math" w:eastAsiaTheme="minorHAnsi" w:hAnsi="Cambria Math" w:cs="Cambria Math"/>
          <w:b/>
          <w:bCs/>
          <w:sz w:val="20"/>
          <w:szCs w:val="20"/>
        </w:rPr>
        <w:t>−</w:t>
      </w:r>
      <w:r>
        <w:rPr>
          <w:rFonts w:asciiTheme="minorHAnsi" w:eastAsiaTheme="minorHAnsi" w:hAnsiTheme="minorHAnsi"/>
          <w:b/>
          <w:bCs/>
          <w:sz w:val="20"/>
          <w:szCs w:val="20"/>
        </w:rPr>
        <w:t>5,+5) 산점도</w:t>
      </w:r>
    </w:p>
    <w:p w14:paraId="02F43EFE" w14:textId="77777777" w:rsidR="00D254D6" w:rsidRPr="005D3E2B" w:rsidRDefault="00D254D6" w:rsidP="005D3E2B">
      <w:pPr>
        <w:spacing w:line="360" w:lineRule="auto"/>
        <w:rPr>
          <w:rFonts w:asciiTheme="minorHAnsi" w:eastAsiaTheme="minorHAnsi" w:hAnsiTheme="minorHAnsi"/>
          <w:sz w:val="18"/>
          <w:szCs w:val="18"/>
        </w:rPr>
      </w:pPr>
      <w:r>
        <w:rPr>
          <w:rFonts w:asciiTheme="minorHAnsi" w:eastAsiaTheme="minorHAnsi" w:hAnsiTheme="minorHAnsi"/>
          <w:sz w:val="18"/>
          <w:szCs w:val="18"/>
        </w:rPr>
        <w:t>주: 단순회귀 기울기(β=+1.23bp/점, 통제변수 미포함 기준)는 참고용이며, 다변량 통제 후 주 분석 창 계수는 표 5의 +1.57bp이다. 색상은 이벤트 유형을 나타낸다(녹색=긍정, 회색=중립, 적색=부정). 일부 관측치는 SVB 이벤트와 관련된 이상치에 의해 영향을 받을 수 있다.</w:t>
      </w:r>
    </w:p>
    <w:p w14:paraId="6F2137FD" w14:textId="77777777" w:rsidR="00520050" w:rsidRPr="005D3E2B" w:rsidRDefault="00520050" w:rsidP="005D3E2B">
      <w:pPr>
        <w:spacing w:line="360" w:lineRule="auto"/>
        <w:rPr>
          <w:rFonts w:asciiTheme="minorHAnsi" w:eastAsiaTheme="minorHAnsi" w:hAnsiTheme="minorHAnsi"/>
          <w:sz w:val="20"/>
          <w:szCs w:val="20"/>
        </w:rPr>
      </w:pPr>
    </w:p>
    <w:p w14:paraId="686DDB13"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4. H3 검정: 비대칭성 및 도피처 효과</w:t>
      </w:r>
    </w:p>
    <w:p w14:paraId="597A438A"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&lt;표 6&gt; 및 &lt;그림 4&gt;는 이벤트 유형별 평균 CAR과 비대칭성 검정 결과를 제시한다. 주 분석 창인 CAR(</w:t>
      </w:r>
      <w:r>
        <w:rPr>
          <w:rFonts w:ascii="Cambria Math" w:eastAsiaTheme="minorHAnsi" w:hAnsi="Cambria Math" w:cs="Cambria Math"/>
          <w:sz w:val="20"/>
          <w:szCs w:val="20"/>
        </w:rPr>
        <w:t>−</w:t>
      </w:r>
      <w:r>
        <w:rPr>
          <w:rFonts w:asciiTheme="minorHAnsi" w:eastAsiaTheme="minorHAnsi" w:hAnsiTheme="minorHAnsi"/>
          <w:sz w:val="20"/>
          <w:szCs w:val="20"/>
        </w:rPr>
        <w:t>5,+5) 기준에서 USDT는 긍정 이벤트(+0.56%)와 부정 이벤트(+2.41%) 모두에서 양(+)의 CAR을 보였으며, 부정 이벤트에서 상대적으로 더 높은 값을 나타냈다. 이러한 패턴은 시장 불안 상</w:t>
      </w:r>
      <w:r>
        <w:rPr>
          <w:rFonts w:asciiTheme="minorHAnsi" w:eastAsiaTheme="minorHAnsi" w:hAnsiTheme="minorHAnsi"/>
          <w:sz w:val="20"/>
          <w:szCs w:val="20"/>
        </w:rPr>
        <w:lastRenderedPageBreak/>
        <w:t>황에서 USDT로 자금이 유입되는 도피처 효과 가능성과 정합적인 결과로 해석될 수 있다. 다만, 독립 표본 t검정(p=0.799)과 Mann-Whitney U 검정(p=0.909) 모두 통계적으로 유의하지 않아, 해당 결과에 대한 해석에는 신중함이 요구된다.</w:t>
      </w:r>
    </w:p>
    <w:p w14:paraId="427DE497"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FTX 파산(2022-11-11) 사례에서는 USDT 거래량이 직전 60일 평균 대비 약 3.2배 증가한 것으로 나타났으며, 해당 이벤트의 CAR(</w:t>
      </w:r>
      <w:r>
        <w:rPr>
          <w:rFonts w:ascii="Cambria Math" w:eastAsiaTheme="minorHAnsi" w:hAnsi="Cambria Math" w:cs="Cambria Math"/>
          <w:sz w:val="20"/>
          <w:szCs w:val="20"/>
        </w:rPr>
        <w:t>−</w:t>
      </w:r>
      <w:r>
        <w:rPr>
          <w:rFonts w:asciiTheme="minorHAnsi" w:eastAsiaTheme="minorHAnsi" w:hAnsiTheme="minorHAnsi"/>
          <w:sz w:val="20"/>
          <w:szCs w:val="20"/>
        </w:rPr>
        <w:t xml:space="preserve">3,+3)은 </w:t>
      </w:r>
      <w:r>
        <w:rPr>
          <w:rFonts w:ascii="Cambria Math" w:eastAsiaTheme="minorHAnsi" w:hAnsi="Cambria Math" w:cs="Cambria Math"/>
          <w:sz w:val="20"/>
          <w:szCs w:val="20"/>
        </w:rPr>
        <w:t>−</w:t>
      </w:r>
      <w:r>
        <w:rPr>
          <w:rFonts w:asciiTheme="minorHAnsi" w:eastAsiaTheme="minorHAnsi" w:hAnsiTheme="minorHAnsi"/>
          <w:sz w:val="20"/>
          <w:szCs w:val="20"/>
        </w:rPr>
        <w:t>5.65%를 기록하였다. 이는 단기적인 가격 충격 이후 빠르게 회복되는 패턴을 보여주며, 거래량 증가와 함께 안전자산적 수요 유입 가능성을 시사한다.</w:t>
      </w:r>
    </w:p>
    <w:p w14:paraId="72B75E6D" w14:textId="77777777" w:rsidR="00E91288" w:rsidRPr="005D3E2B" w:rsidRDefault="00E91288" w:rsidP="005D3E2B">
      <w:pPr>
        <w:spacing w:line="360" w:lineRule="auto"/>
        <w:rPr>
          <w:rFonts w:asciiTheme="minorHAnsi" w:eastAsiaTheme="minorHAnsi" w:hAnsiTheme="minorHAnsi"/>
          <w:sz w:val="20"/>
          <w:szCs w:val="20"/>
        </w:rPr>
      </w:pPr>
      <w:r>
        <w:rPr>
          <w:rFonts w:asciiTheme="minorHAnsi" w:eastAsiaTheme="minorHAnsi" w:hAnsiTheme="minorHAnsi"/>
          <w:sz w:val="20"/>
          <w:szCs w:val="20"/>
        </w:rPr>
        <w:t>한편, USDC의 부정 이벤트는 SVB 파산(2023-03-10) 단일 사례로 구성되어 있어 통계적 검정은 수행할 수 없다. 해당 이벤트에서 CAR(</w:t>
      </w:r>
      <w:r>
        <w:rPr>
          <w:rFonts w:ascii="Cambria Math" w:eastAsiaTheme="minorHAnsi" w:hAnsi="Cambria Math" w:cs="Cambria Math"/>
          <w:sz w:val="20"/>
          <w:szCs w:val="20"/>
        </w:rPr>
        <w:t>−</w:t>
      </w:r>
      <w:r>
        <w:rPr>
          <w:rFonts w:asciiTheme="minorHAnsi" w:eastAsiaTheme="minorHAnsi" w:hAnsiTheme="minorHAnsi"/>
          <w:sz w:val="20"/>
          <w:szCs w:val="20"/>
        </w:rPr>
        <w:t xml:space="preserve">1,+1)은 </w:t>
      </w:r>
      <w:r>
        <w:rPr>
          <w:rFonts w:ascii="Cambria Math" w:eastAsiaTheme="minorHAnsi" w:hAnsi="Cambria Math" w:cs="Cambria Math"/>
          <w:sz w:val="20"/>
          <w:szCs w:val="20"/>
        </w:rPr>
        <w:t>−</w:t>
      </w:r>
      <w:r>
        <w:rPr>
          <w:rFonts w:asciiTheme="minorHAnsi" w:eastAsiaTheme="minorHAnsi" w:hAnsiTheme="minorHAnsi"/>
          <w:sz w:val="20"/>
          <w:szCs w:val="20"/>
        </w:rPr>
        <w:t>287.73%의 극단적 충격을 기록하였으며, 비정상 패그 이탈은 0.194%p로 USDC 긍정 이벤트 평균 패그 이탈 대비 약 43배에 달하였다. &lt;그림 5&gt;의 케이스 스터디에서 확인되듯, USDC 가격은 최저 약 0.972달러까지 하락한 이후 FDIC 개입을 계기로 빠르게 회복하는 모습을 보였다. 또한 CAR(</w:t>
      </w:r>
      <w:r>
        <w:rPr>
          <w:rFonts w:ascii="Cambria Math" w:eastAsiaTheme="minorHAnsi" w:hAnsi="Cambria Math" w:cs="Cambria Math"/>
          <w:sz w:val="20"/>
          <w:szCs w:val="20"/>
        </w:rPr>
        <w:t>−</w:t>
      </w:r>
      <w:r>
        <w:rPr>
          <w:rFonts w:asciiTheme="minorHAnsi" w:eastAsiaTheme="minorHAnsi" w:hAnsiTheme="minorHAnsi"/>
          <w:sz w:val="20"/>
          <w:szCs w:val="20"/>
        </w:rPr>
        <w:t>5,+5) 기준으로는 +1.15%를 기록하여 중기적으로는 안정화가 이루어졌음을 보여준다.</w:t>
      </w:r>
    </w:p>
    <w:p w14:paraId="7FAE792D" w14:textId="77777777" w:rsidR="00F109A3" w:rsidRPr="005D3E2B" w:rsidRDefault="00F109A3" w:rsidP="005D3E2B">
      <w:pPr>
        <w:spacing w:before="80" w:after="120" w:line="360" w:lineRule="auto"/>
        <w:jc w:val="center"/>
        <w:rPr>
          <w:rFonts w:asciiTheme="minorHAnsi" w:eastAsiaTheme="minorHAnsi" w:hAnsiTheme="minorHAnsi"/>
          <w:b/>
          <w:bCs/>
          <w:sz w:val="20"/>
          <w:szCs w:val="20"/>
        </w:rPr>
      </w:pPr>
    </w:p>
    <w:p w14:paraId="636B9DAB" w14:textId="77777777" w:rsidR="00F109A3" w:rsidRPr="005D3E2B" w:rsidRDefault="00F109A3" w:rsidP="005D3E2B">
      <w:pPr>
        <w:spacing w:before="80" w:after="120" w:line="360" w:lineRule="auto"/>
        <w:jc w:val="center"/>
        <w:rPr>
          <w:rFonts w:asciiTheme="minorHAnsi" w:eastAsiaTheme="minorHAnsi" w:hAnsiTheme="minorHAnsi"/>
          <w:b/>
          <w:bCs/>
          <w:sz w:val="20"/>
          <w:szCs w:val="20"/>
        </w:rPr>
      </w:pPr>
      <w:r>
        <w:rPr>
          <w:rFonts w:asciiTheme="minorHAnsi" w:eastAsiaTheme="minorHAnsi" w:hAnsiTheme="minorHAnsi"/>
          <w:b/>
          <w:bCs/>
          <w:noProof/>
          <w:sz w:val="20"/>
          <w:szCs w:val="20"/>
        </w:rPr>
        <w:drawing>
          <wp:inline distT="0" distB="0" distL="0" distR="0" wp14:anchorId="199CE33F" wp14:editId="58BCB843">
            <wp:extent cx="5581650" cy="2292350"/>
            <wp:effectExtent l="0" t="0" r="0" b="0"/>
            <wp:docPr id="575994442"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1650" cy="2292350"/>
                    </a:xfrm>
                    <a:prstGeom prst="rect">
                      <a:avLst/>
                    </a:prstGeom>
                    <a:noFill/>
                    <a:ln>
                      <a:noFill/>
                    </a:ln>
                  </pic:spPr>
                </pic:pic>
              </a:graphicData>
            </a:graphic>
          </wp:inline>
        </w:drawing>
      </w:r>
    </w:p>
    <w:p w14:paraId="328C9FBC"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[그림 4] 이벤트 유형별 CAR(</w:t>
      </w:r>
      <w:r>
        <w:rPr>
          <w:rFonts w:ascii="Cambria Math" w:eastAsiaTheme="minorHAnsi" w:hAnsi="Cambria Math" w:cs="Cambria Math"/>
          <w:b/>
          <w:bCs/>
          <w:sz w:val="20"/>
          <w:szCs w:val="20"/>
        </w:rPr>
        <w:t>−</w:t>
      </w:r>
      <w:r>
        <w:rPr>
          <w:rFonts w:asciiTheme="minorHAnsi" w:eastAsiaTheme="minorHAnsi" w:hAnsiTheme="minorHAnsi"/>
          <w:b/>
          <w:bCs/>
          <w:sz w:val="20"/>
          <w:szCs w:val="20"/>
        </w:rPr>
        <w:t>3,+3) 분포 (박스플롯)</w:t>
      </w:r>
    </w:p>
    <w:p w14:paraId="57D8B760" w14:textId="77777777" w:rsidR="00E91288" w:rsidRPr="005D3E2B" w:rsidRDefault="00E91288" w:rsidP="005D3E2B">
      <w:pPr>
        <w:spacing w:line="360" w:lineRule="auto"/>
        <w:rPr>
          <w:rFonts w:asciiTheme="minorHAnsi" w:eastAsiaTheme="minorHAnsi" w:hAnsiTheme="minorHAnsi"/>
          <w:sz w:val="18"/>
          <w:szCs w:val="18"/>
        </w:rPr>
      </w:pPr>
      <w:r>
        <w:rPr>
          <w:rFonts w:asciiTheme="minorHAnsi" w:eastAsiaTheme="minorHAnsi" w:hAnsiTheme="minorHAnsi"/>
          <w:sz w:val="18"/>
          <w:szCs w:val="18"/>
        </w:rPr>
        <w:t>주: 박스는 1사분위수(Q1)~3사분위수(Q3) 범위(IQR)를 나타내고, 박스 내 선은 중앙값, 수염은 Q1</w:t>
      </w:r>
      <w:r>
        <w:rPr>
          <w:rFonts w:ascii="Cambria Math" w:eastAsiaTheme="minorHAnsi" w:hAnsi="Cambria Math" w:cs="Cambria Math"/>
          <w:sz w:val="18"/>
          <w:szCs w:val="18"/>
        </w:rPr>
        <w:t>−</w:t>
      </w:r>
      <w:r>
        <w:rPr>
          <w:rFonts w:asciiTheme="minorHAnsi" w:eastAsiaTheme="minorHAnsi" w:hAnsiTheme="minorHAnsi"/>
          <w:sz w:val="18"/>
          <w:szCs w:val="18"/>
        </w:rPr>
        <w:t>1.5</w:t>
      </w:r>
      <w:r>
        <w:rPr>
          <w:rFonts w:ascii="맑은 고딕" w:eastAsia="맑은 고딕" w:hAnsi="맑은 고딕" w:cs="맑은 고딕" w:hint="eastAsia"/>
          <w:sz w:val="18"/>
          <w:szCs w:val="18"/>
        </w:rPr>
        <w:t>×</w:t>
      </w:r>
      <w:r>
        <w:rPr>
          <w:rFonts w:asciiTheme="minorHAnsi" w:eastAsiaTheme="minorHAnsi" w:hAnsiTheme="minorHAnsi"/>
          <w:sz w:val="18"/>
          <w:szCs w:val="18"/>
        </w:rPr>
        <w:t>IQR~Q3+1.5</w:t>
      </w:r>
      <w:r>
        <w:rPr>
          <w:rFonts w:ascii="맑은 고딕" w:eastAsia="맑은 고딕" w:hAnsi="맑은 고딕" w:cs="맑은 고딕" w:hint="eastAsia"/>
          <w:sz w:val="18"/>
          <w:szCs w:val="18"/>
        </w:rPr>
        <w:t>×</w:t>
      </w:r>
      <w:r>
        <w:rPr>
          <w:rFonts w:asciiTheme="minorHAnsi" w:eastAsiaTheme="minorHAnsi" w:hAnsiTheme="minorHAnsi"/>
          <w:sz w:val="18"/>
          <w:szCs w:val="18"/>
        </w:rPr>
        <w:t>IQR 범위, 점은 이상치를 의미한다. 색상은 이벤트 유형을 나타낸다(녹색=긍정, 회색=중립, 적색=부정). USDT N=긍정 10건·중립 7건·부정 2건; USDC N=긍정 7건·부정 1건. USDC 부정 이벤트(N=1)는 단일 관측치이므로 박스플롯 산출이 불가하여 점으로 표시된다.</w:t>
      </w:r>
    </w:p>
    <w:p w14:paraId="2FFFD40A" w14:textId="77777777" w:rsidR="00520050" w:rsidRPr="005D3E2B" w:rsidRDefault="00520050" w:rsidP="005D3E2B">
      <w:pPr>
        <w:spacing w:line="360" w:lineRule="auto"/>
        <w:rPr>
          <w:rFonts w:asciiTheme="minorHAnsi" w:eastAsiaTheme="minorHAnsi" w:hAnsiTheme="minorHAnsi"/>
          <w:sz w:val="20"/>
          <w:szCs w:val="20"/>
        </w:rPr>
      </w:pPr>
    </w:p>
    <w:p w14:paraId="04764845"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&lt;표 6&gt; H3 검정: 이벤트 유형별 평균 CAR 및 비대칭성</w:t>
      </w:r>
    </w:p>
    <w:tbl>
      <w:tblPr>
        <w:tblW w:w="8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1369"/>
        <w:gridCol w:w="1369"/>
        <w:gridCol w:w="1369"/>
        <w:gridCol w:w="1011"/>
        <w:gridCol w:w="1011"/>
        <w:gridCol w:w="1812"/>
      </w:tblGrid>
      <w:tr w:rsidR="00520050" w:rsidRPr="005D3E2B" w14:paraId="5CA5C44F" w14:textId="77777777" w:rsidTr="005D3E2B">
        <w:trPr>
          <w:trHeight w:val="522"/>
        </w:trPr>
        <w:tc>
          <w:tcPr>
            <w:tcW w:w="864"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48BF413A"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코인</w:t>
            </w:r>
          </w:p>
        </w:tc>
        <w:tc>
          <w:tcPr>
            <w:tcW w:w="1369"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6C3636D1"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이벤트창</w:t>
            </w:r>
          </w:p>
        </w:tc>
        <w:tc>
          <w:tcPr>
            <w:tcW w:w="1369"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76E1ED94"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긍정(%)</w:t>
            </w:r>
          </w:p>
        </w:tc>
        <w:tc>
          <w:tcPr>
            <w:tcW w:w="1369"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4643822"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부정(%)</w:t>
            </w:r>
          </w:p>
        </w:tc>
        <w:tc>
          <w:tcPr>
            <w:tcW w:w="1011"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23CA4373"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비율</w:t>
            </w:r>
          </w:p>
        </w:tc>
        <w:tc>
          <w:tcPr>
            <w:tcW w:w="1011"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218A571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t-p</w:t>
            </w:r>
          </w:p>
        </w:tc>
        <w:tc>
          <w:tcPr>
            <w:tcW w:w="1812"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33CC03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MW-p</w:t>
            </w:r>
          </w:p>
        </w:tc>
      </w:tr>
      <w:tr w:rsidR="00CA303D" w:rsidRPr="005D3E2B" w14:paraId="0763E040" w14:textId="77777777" w:rsidTr="003A2030">
        <w:trPr>
          <w:trHeight w:val="522"/>
        </w:trPr>
        <w:tc>
          <w:tcPr>
            <w:tcW w:w="864" w:type="dxa"/>
            <w:vMerge w:val="restart"/>
            <w:tcBorders>
              <w:top w:val="single" w:sz="1" w:space="0" w:color="888888"/>
              <w:left w:val="single" w:sz="1" w:space="0" w:color="888888"/>
              <w:right w:val="single" w:sz="1" w:space="0" w:color="888888"/>
            </w:tcBorders>
            <w:shd w:val="clear" w:color="auto" w:fill="FFFFFF"/>
            <w:tcMar>
              <w:top w:w="60" w:type="dxa"/>
              <w:left w:w="100" w:type="dxa"/>
              <w:bottom w:w="60" w:type="dxa"/>
              <w:right w:w="100" w:type="dxa"/>
            </w:tcMar>
          </w:tcPr>
          <w:p w14:paraId="5E68E07E"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USDT</w:t>
            </w: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8791AC9"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(-1,+1)</w:t>
            </w: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9058921"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+0.711</w:t>
            </w: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46A976C"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-0.265</w:t>
            </w:r>
          </w:p>
        </w:tc>
        <w:tc>
          <w:tcPr>
            <w:tcW w:w="101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83FDB4E"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0.372</w:t>
            </w:r>
          </w:p>
        </w:tc>
        <w:tc>
          <w:tcPr>
            <w:tcW w:w="101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4CD2DB4"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0.573</w:t>
            </w:r>
          </w:p>
        </w:tc>
        <w:tc>
          <w:tcPr>
            <w:tcW w:w="181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5F4195"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0.758</w:t>
            </w:r>
          </w:p>
        </w:tc>
      </w:tr>
      <w:tr w:rsidR="00CA303D" w:rsidRPr="005D3E2B" w14:paraId="665598F9" w14:textId="77777777" w:rsidTr="003A2030">
        <w:trPr>
          <w:trHeight w:val="522"/>
        </w:trPr>
        <w:tc>
          <w:tcPr>
            <w:tcW w:w="864" w:type="dxa"/>
            <w:vMerge/>
            <w:tcBorders>
              <w:left w:val="single" w:sz="1" w:space="0" w:color="888888"/>
              <w:right w:val="single" w:sz="1" w:space="0" w:color="888888"/>
            </w:tcBorders>
            <w:shd w:val="clear" w:color="auto" w:fill="FFFFFF"/>
            <w:tcMar>
              <w:top w:w="60" w:type="dxa"/>
              <w:left w:w="100" w:type="dxa"/>
              <w:bottom w:w="60" w:type="dxa"/>
              <w:right w:w="100" w:type="dxa"/>
            </w:tcMar>
          </w:tcPr>
          <w:p w14:paraId="1D9EB90A" w14:textId="77777777" w:rsidR="00CA303D" w:rsidRPr="005D3E2B" w:rsidRDefault="00CA303D" w:rsidP="005D3E2B">
            <w:pPr>
              <w:spacing w:line="360" w:lineRule="auto"/>
              <w:jc w:val="center"/>
              <w:rPr>
                <w:rFonts w:asciiTheme="minorHAnsi" w:eastAsiaTheme="minorHAnsi" w:hAnsiTheme="minorHAnsi"/>
                <w:sz w:val="20"/>
                <w:szCs w:val="20"/>
              </w:rPr>
            </w:pP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D2D7A8A"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(-3,+3)</w:t>
            </w: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4C2EC09"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+1.067</w:t>
            </w: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4E5B7F6"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-2.248</w:t>
            </w:r>
          </w:p>
        </w:tc>
        <w:tc>
          <w:tcPr>
            <w:tcW w:w="101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BCF3607"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2.106</w:t>
            </w:r>
          </w:p>
        </w:tc>
        <w:tc>
          <w:tcPr>
            <w:tcW w:w="101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7588655"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0.498</w:t>
            </w:r>
          </w:p>
        </w:tc>
        <w:tc>
          <w:tcPr>
            <w:tcW w:w="181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A2631E9"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0.606</w:t>
            </w:r>
          </w:p>
        </w:tc>
      </w:tr>
      <w:tr w:rsidR="00CA303D" w:rsidRPr="005D3E2B" w14:paraId="6167EA19" w14:textId="77777777" w:rsidTr="003A2030">
        <w:trPr>
          <w:trHeight w:val="522"/>
        </w:trPr>
        <w:tc>
          <w:tcPr>
            <w:tcW w:w="864" w:type="dxa"/>
            <w:vMerge/>
            <w:tcBorders>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7CDA86C8" w14:textId="77777777" w:rsidR="00CA303D" w:rsidRPr="005D3E2B" w:rsidRDefault="00CA303D" w:rsidP="005D3E2B">
            <w:pPr>
              <w:spacing w:line="360" w:lineRule="auto"/>
              <w:jc w:val="center"/>
              <w:rPr>
                <w:rFonts w:asciiTheme="minorHAnsi" w:eastAsiaTheme="minorHAnsi" w:hAnsiTheme="minorHAnsi"/>
                <w:sz w:val="20"/>
                <w:szCs w:val="20"/>
              </w:rPr>
            </w:pPr>
          </w:p>
        </w:tc>
        <w:tc>
          <w:tcPr>
            <w:tcW w:w="1369"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6671B04C"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(-5,+5) ★</w:t>
            </w:r>
          </w:p>
        </w:tc>
        <w:tc>
          <w:tcPr>
            <w:tcW w:w="1369"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32854760"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+0.564</w:t>
            </w:r>
          </w:p>
        </w:tc>
        <w:tc>
          <w:tcPr>
            <w:tcW w:w="1369"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3E0FF9B4"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+2.414</w:t>
            </w:r>
          </w:p>
        </w:tc>
        <w:tc>
          <w:tcPr>
            <w:tcW w:w="1011"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05EB4157"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N/A</w:t>
            </w:r>
          </w:p>
        </w:tc>
        <w:tc>
          <w:tcPr>
            <w:tcW w:w="1011"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2D365D01"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0.799</w:t>
            </w:r>
          </w:p>
        </w:tc>
        <w:tc>
          <w:tcPr>
            <w:tcW w:w="1812"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199AC442"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0.909</w:t>
            </w:r>
          </w:p>
        </w:tc>
      </w:tr>
      <w:tr w:rsidR="00CA303D" w:rsidRPr="005D3E2B" w14:paraId="77BABBB0" w14:textId="77777777" w:rsidTr="001671D2">
        <w:trPr>
          <w:trHeight w:val="522"/>
        </w:trPr>
        <w:tc>
          <w:tcPr>
            <w:tcW w:w="864" w:type="dxa"/>
            <w:vMerge w:val="restart"/>
            <w:tcBorders>
              <w:top w:val="single" w:sz="1" w:space="0" w:color="888888"/>
              <w:left w:val="single" w:sz="1" w:space="0" w:color="888888"/>
              <w:right w:val="single" w:sz="1" w:space="0" w:color="888888"/>
            </w:tcBorders>
            <w:shd w:val="clear" w:color="auto" w:fill="FFFFFF"/>
            <w:tcMar>
              <w:top w:w="60" w:type="dxa"/>
              <w:left w:w="100" w:type="dxa"/>
              <w:bottom w:w="60" w:type="dxa"/>
              <w:right w:w="100" w:type="dxa"/>
            </w:tcMar>
          </w:tcPr>
          <w:p w14:paraId="6A8C9DEA"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USDC</w:t>
            </w: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F931C3C"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(-1,+1)</w:t>
            </w: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9AEF7CC"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-0.333†</w:t>
            </w: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8652A53"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-287.731</w:t>
            </w:r>
          </w:p>
        </w:tc>
        <w:tc>
          <w:tcPr>
            <w:tcW w:w="101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C156422"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N/A</w:t>
            </w:r>
          </w:p>
        </w:tc>
        <w:tc>
          <w:tcPr>
            <w:tcW w:w="101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BAF25BF"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w:t>
            </w:r>
          </w:p>
        </w:tc>
        <w:tc>
          <w:tcPr>
            <w:tcW w:w="181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947EF79"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w:t>
            </w:r>
          </w:p>
        </w:tc>
      </w:tr>
      <w:tr w:rsidR="00CA303D" w:rsidRPr="005D3E2B" w14:paraId="287ACC6E" w14:textId="77777777" w:rsidTr="001671D2">
        <w:trPr>
          <w:trHeight w:val="532"/>
        </w:trPr>
        <w:tc>
          <w:tcPr>
            <w:tcW w:w="864" w:type="dxa"/>
            <w:vMerge/>
            <w:tcBorders>
              <w:left w:val="single" w:sz="1" w:space="0" w:color="888888"/>
              <w:right w:val="single" w:sz="1" w:space="0" w:color="888888"/>
            </w:tcBorders>
            <w:shd w:val="clear" w:color="auto" w:fill="FFFFFF"/>
            <w:tcMar>
              <w:top w:w="60" w:type="dxa"/>
              <w:left w:w="100" w:type="dxa"/>
              <w:bottom w:w="60" w:type="dxa"/>
              <w:right w:w="100" w:type="dxa"/>
            </w:tcMar>
          </w:tcPr>
          <w:p w14:paraId="51BF3AC2" w14:textId="77777777" w:rsidR="00CA303D" w:rsidRPr="005D3E2B" w:rsidRDefault="00CA303D" w:rsidP="005D3E2B">
            <w:pPr>
              <w:spacing w:line="360" w:lineRule="auto"/>
              <w:jc w:val="center"/>
              <w:rPr>
                <w:rFonts w:asciiTheme="minorHAnsi" w:eastAsiaTheme="minorHAnsi" w:hAnsiTheme="minorHAnsi"/>
                <w:sz w:val="20"/>
                <w:szCs w:val="20"/>
              </w:rPr>
            </w:pP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03E0D01"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(-3,+3)</w:t>
            </w: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785A1C0"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+1.730</w:t>
            </w:r>
          </w:p>
        </w:tc>
        <w:tc>
          <w:tcPr>
            <w:tcW w:w="1369"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9B1A0B"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-10.241</w:t>
            </w:r>
          </w:p>
        </w:tc>
        <w:tc>
          <w:tcPr>
            <w:tcW w:w="101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542E2ED"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5.92</w:t>
            </w:r>
          </w:p>
        </w:tc>
        <w:tc>
          <w:tcPr>
            <w:tcW w:w="1011"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2086A27"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w:t>
            </w:r>
          </w:p>
        </w:tc>
        <w:tc>
          <w:tcPr>
            <w:tcW w:w="181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7DD1BA7"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w:t>
            </w:r>
          </w:p>
        </w:tc>
      </w:tr>
      <w:tr w:rsidR="00CA303D" w:rsidRPr="005D3E2B" w14:paraId="72CF01E1" w14:textId="77777777" w:rsidTr="001671D2">
        <w:trPr>
          <w:trHeight w:val="522"/>
        </w:trPr>
        <w:tc>
          <w:tcPr>
            <w:tcW w:w="864" w:type="dxa"/>
            <w:vMerge/>
            <w:tcBorders>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0A016DFB" w14:textId="77777777" w:rsidR="00CA303D" w:rsidRPr="005D3E2B" w:rsidRDefault="00CA303D" w:rsidP="005D3E2B">
            <w:pPr>
              <w:spacing w:line="360" w:lineRule="auto"/>
              <w:jc w:val="center"/>
              <w:rPr>
                <w:rFonts w:asciiTheme="minorHAnsi" w:eastAsiaTheme="minorHAnsi" w:hAnsiTheme="minorHAnsi"/>
                <w:sz w:val="20"/>
                <w:szCs w:val="20"/>
              </w:rPr>
            </w:pPr>
          </w:p>
        </w:tc>
        <w:tc>
          <w:tcPr>
            <w:tcW w:w="1369"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73E4FDBD"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(-5,+5) ★</w:t>
            </w:r>
          </w:p>
        </w:tc>
        <w:tc>
          <w:tcPr>
            <w:tcW w:w="1369"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32E72768"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+0.301</w:t>
            </w:r>
          </w:p>
        </w:tc>
        <w:tc>
          <w:tcPr>
            <w:tcW w:w="1369"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68DFA269"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+1.151</w:t>
            </w:r>
          </w:p>
        </w:tc>
        <w:tc>
          <w:tcPr>
            <w:tcW w:w="1011"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666689FB"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N/A</w:t>
            </w:r>
          </w:p>
        </w:tc>
        <w:tc>
          <w:tcPr>
            <w:tcW w:w="1011"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06C85B59"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w:t>
            </w:r>
          </w:p>
        </w:tc>
        <w:tc>
          <w:tcPr>
            <w:tcW w:w="1812" w:type="dxa"/>
            <w:tcBorders>
              <w:top w:val="single" w:sz="1" w:space="0" w:color="888888"/>
              <w:left w:val="single" w:sz="1" w:space="0" w:color="888888"/>
              <w:bottom w:val="single" w:sz="1" w:space="0" w:color="888888"/>
              <w:right w:val="single" w:sz="1" w:space="0" w:color="888888"/>
            </w:tcBorders>
            <w:shd w:val="clear" w:color="auto" w:fill="FFF9C4"/>
            <w:tcMar>
              <w:top w:w="60" w:type="dxa"/>
              <w:left w:w="100" w:type="dxa"/>
              <w:bottom w:w="60" w:type="dxa"/>
              <w:right w:w="100" w:type="dxa"/>
            </w:tcMar>
          </w:tcPr>
          <w:p w14:paraId="4F650DCB" w14:textId="77777777" w:rsidR="00CA303D" w:rsidRPr="005D3E2B" w:rsidRDefault="00CA303D"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w:t>
            </w:r>
          </w:p>
        </w:tc>
      </w:tr>
    </w:tbl>
    <w:p w14:paraId="0A880C7A" w14:textId="77777777" w:rsidR="00520050" w:rsidRPr="005D3E2B" w:rsidRDefault="00190F51" w:rsidP="005D3E2B">
      <w:pPr>
        <w:spacing w:before="40" w:after="80" w:line="360" w:lineRule="auto"/>
        <w:jc w:val="both"/>
        <w:rPr>
          <w:rFonts w:asciiTheme="minorHAnsi" w:eastAsiaTheme="minorHAnsi" w:hAnsiTheme="minorHAnsi"/>
          <w:sz w:val="18"/>
          <w:szCs w:val="18"/>
        </w:rPr>
      </w:pPr>
      <w:r>
        <w:rPr>
          <w:rFonts w:asciiTheme="minorHAnsi" w:eastAsiaTheme="minorHAnsi" w:hAnsiTheme="minorHAnsi"/>
          <w:sz w:val="18"/>
          <w:szCs w:val="18"/>
        </w:rPr>
        <w:t xml:space="preserve">주: ★ 주 분석 창(노란색 음영). N/A=같은 부호로 비율 산출 무의미. † SVB 제외 시 </w:t>
      </w:r>
      <w:r>
        <w:rPr>
          <w:rFonts w:ascii="Cambria Math" w:eastAsiaTheme="minorHAnsi" w:hAnsi="Cambria Math" w:cs="Cambria Math"/>
          <w:sz w:val="18"/>
          <w:szCs w:val="18"/>
        </w:rPr>
        <w:t>−</w:t>
      </w:r>
      <w:r>
        <w:rPr>
          <w:rFonts w:asciiTheme="minorHAnsi" w:eastAsiaTheme="minorHAnsi" w:hAnsiTheme="minorHAnsi"/>
          <w:sz w:val="18"/>
          <w:szCs w:val="18"/>
        </w:rPr>
        <w:t>0.33%. USDC 부정 N=1 — 검정불가.</w:t>
      </w:r>
    </w:p>
    <w:p w14:paraId="205361FD" w14:textId="77777777" w:rsidR="00F109A3" w:rsidRPr="005D3E2B" w:rsidRDefault="00F109A3" w:rsidP="005D3E2B">
      <w:pPr>
        <w:spacing w:before="80" w:after="120" w:line="360" w:lineRule="auto"/>
        <w:jc w:val="center"/>
        <w:rPr>
          <w:rFonts w:asciiTheme="minorHAnsi" w:eastAsiaTheme="minorHAnsi" w:hAnsiTheme="minorHAnsi"/>
          <w:b/>
          <w:bCs/>
          <w:sz w:val="20"/>
          <w:szCs w:val="20"/>
        </w:rPr>
      </w:pPr>
    </w:p>
    <w:p w14:paraId="39E2ED32" w14:textId="77777777" w:rsidR="00F109A3" w:rsidRPr="005D3E2B" w:rsidRDefault="00F109A3" w:rsidP="005D3E2B">
      <w:pPr>
        <w:spacing w:before="80" w:after="120" w:line="360" w:lineRule="auto"/>
        <w:jc w:val="center"/>
        <w:rPr>
          <w:rFonts w:asciiTheme="minorHAnsi" w:eastAsiaTheme="minorHAnsi" w:hAnsiTheme="minorHAnsi"/>
          <w:b/>
          <w:bCs/>
          <w:sz w:val="20"/>
          <w:szCs w:val="20"/>
        </w:rPr>
      </w:pPr>
      <w:r>
        <w:rPr>
          <w:rFonts w:asciiTheme="minorHAnsi" w:eastAsiaTheme="minorHAnsi" w:hAnsiTheme="minorHAnsi"/>
          <w:b/>
          <w:bCs/>
          <w:noProof/>
          <w:sz w:val="20"/>
          <w:szCs w:val="20"/>
        </w:rPr>
        <w:drawing>
          <wp:inline distT="0" distB="0" distL="0" distR="0" wp14:anchorId="62302488" wp14:editId="78E733D7">
            <wp:extent cx="5581650" cy="3168650"/>
            <wp:effectExtent l="0" t="0" r="0" b="0"/>
            <wp:docPr id="157312020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1650" cy="3168650"/>
                    </a:xfrm>
                    <a:prstGeom prst="rect">
                      <a:avLst/>
                    </a:prstGeom>
                    <a:noFill/>
                    <a:ln>
                      <a:noFill/>
                    </a:ln>
                  </pic:spPr>
                </pic:pic>
              </a:graphicData>
            </a:graphic>
          </wp:inline>
        </w:drawing>
      </w:r>
    </w:p>
    <w:p w14:paraId="51B2592D"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[그림 5] SVB 파산 케이스스터디 (USDC, 2023-03-10)</w:t>
      </w:r>
    </w:p>
    <w:p w14:paraId="4213EE29" w14:textId="77777777" w:rsidR="00520050" w:rsidRPr="005D3E2B" w:rsidRDefault="00190F51" w:rsidP="005D3E2B">
      <w:pPr>
        <w:spacing w:before="40" w:after="80" w:line="360" w:lineRule="auto"/>
        <w:jc w:val="both"/>
        <w:rPr>
          <w:rFonts w:asciiTheme="minorHAnsi" w:eastAsiaTheme="minorHAnsi" w:hAnsiTheme="minorHAnsi"/>
          <w:sz w:val="18"/>
          <w:szCs w:val="18"/>
        </w:rPr>
      </w:pPr>
      <w:r>
        <w:rPr>
          <w:rFonts w:asciiTheme="minorHAnsi" w:eastAsiaTheme="minorHAnsi" w:hAnsiTheme="minorHAnsi"/>
          <w:sz w:val="18"/>
          <w:szCs w:val="18"/>
        </w:rPr>
        <w:lastRenderedPageBreak/>
        <w:t>주: 상단 — USDC 가격 추이. 붉은 점선=SVB 파산(3/10), 회색 점선=FDIC 개입(3/13). 하단 — 비정상수익률(bar) 및 누적 CAR(주황선). τ=+2 회색 점선은 FDIC 개입 반등(오염이벤트 제외)을 나타냄.</w:t>
      </w:r>
    </w:p>
    <w:p w14:paraId="11A47A6E" w14:textId="77777777" w:rsidR="00520050" w:rsidRPr="005D3E2B" w:rsidRDefault="00520050" w:rsidP="005D3E2B">
      <w:pPr>
        <w:spacing w:line="360" w:lineRule="auto"/>
        <w:rPr>
          <w:rFonts w:asciiTheme="minorHAnsi" w:eastAsiaTheme="minorHAnsi" w:hAnsiTheme="minorHAnsi"/>
          <w:sz w:val="20"/>
          <w:szCs w:val="20"/>
        </w:rPr>
      </w:pPr>
    </w:p>
    <w:p w14:paraId="6DF99823" w14:textId="77777777" w:rsidR="00520050" w:rsidRPr="005D3E2B" w:rsidRDefault="00190F51" w:rsidP="005D3E2B">
      <w:pPr>
        <w:pStyle w:val="2"/>
        <w:spacing w:line="360" w:lineRule="auto"/>
        <w:rPr>
          <w:rFonts w:asciiTheme="minorHAnsi" w:eastAsiaTheme="minorHAnsi" w:hAnsiTheme="minorHAnsi"/>
          <w:sz w:val="20"/>
          <w:szCs w:val="20"/>
        </w:rPr>
      </w:pPr>
      <w:r>
        <w:rPr>
          <w:rFonts w:asciiTheme="minorHAnsi" w:eastAsiaTheme="minorHAnsi" w:hAnsiTheme="minorHAnsi"/>
          <w:sz w:val="20"/>
          <w:szCs w:val="20"/>
        </w:rPr>
        <w:t>5. 보완 분석 및 강건성 검토</w:t>
      </w:r>
    </w:p>
    <w:p w14:paraId="1B4E702D"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비정상 패그 이탈을 종속변수로 사용하는 보완 분석에서, USDT의 부정 이벤트 평균 비정상 패그 이탈은 0.007%p로 긍정(</w:t>
      </w:r>
      <w:r>
        <w:rPr>
          <w:rFonts w:ascii="Cambria Math" w:eastAsiaTheme="minorHAnsi" w:hAnsi="Cambria Math" w:cs="Cambria Math"/>
          <w:sz w:val="20"/>
          <w:szCs w:val="20"/>
        </w:rPr>
        <w:t>−</w:t>
      </w:r>
      <w:r>
        <w:rPr>
          <w:rFonts w:asciiTheme="minorHAnsi" w:eastAsiaTheme="minorHAnsi" w:hAnsiTheme="minorHAnsi"/>
          <w:sz w:val="20"/>
          <w:szCs w:val="20"/>
        </w:rPr>
        <w:t>0.002%p) 및 중립(</w:t>
      </w:r>
      <w:r>
        <w:rPr>
          <w:rFonts w:ascii="Cambria Math" w:eastAsiaTheme="minorHAnsi" w:hAnsi="Cambria Math" w:cs="Cambria Math"/>
          <w:sz w:val="20"/>
          <w:szCs w:val="20"/>
        </w:rPr>
        <w:t>−</w:t>
      </w:r>
      <w:r>
        <w:rPr>
          <w:rFonts w:asciiTheme="minorHAnsi" w:eastAsiaTheme="minorHAnsi" w:hAnsiTheme="minorHAnsi"/>
          <w:sz w:val="20"/>
          <w:szCs w:val="20"/>
        </w:rPr>
        <w:t>0.007%p) 이벤트에 비해 상대적으로 높게 나타났다. 그러나 공시 품질지수와의 회귀분석에서는 모든 이벤트창에서 통계적으로 유의한 관계가 확인되지 않았다(p&gt;0.10).</w:t>
      </w:r>
    </w:p>
    <w:p w14:paraId="2B3232C2"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이러한 결과는 공시 이벤트의 영향이 가격 수준 변화보다는 거래량, 유동성, 환매 흐름과 같은 시장 미시구조 경로를 통해 나타날 가능성을 시사한다. 따라서 본 연구의 결과는 온체인 데이터 기반의 이상 탐지 접근법과 결합될 필요가 있으며, 향후 연구에서는 거래량 및 온체인 활동 지표를 포함한 확장 분석이 요구된다.</w:t>
      </w:r>
    </w:p>
    <w:p w14:paraId="3FD21019"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&lt;표 7&gt;과 &lt;그림 6&gt;은 강건성 분석 결과를 제시한다. 주 분석 창 CAR(</w:t>
      </w:r>
      <w:r>
        <w:rPr>
          <w:rFonts w:ascii="Cambria Math" w:eastAsiaTheme="minorHAnsi" w:hAnsi="Cambria Math" w:cs="Cambria Math"/>
          <w:sz w:val="20"/>
          <w:szCs w:val="20"/>
        </w:rPr>
        <w:t>−</w:t>
      </w:r>
      <w:r>
        <w:rPr>
          <w:rFonts w:asciiTheme="minorHAnsi" w:eastAsiaTheme="minorHAnsi" w:hAnsiTheme="minorHAnsi"/>
          <w:sz w:val="20"/>
          <w:szCs w:val="20"/>
        </w:rPr>
        <w:t>5,+5)에서 quality_score 계수는 전체 표본(+1.57bp, p=0.160), 극단 이벤트 제외(+1.56bp, p=0.174), USDT 단독(+1.63bp, p=0.183)으로 추정되어 통계적 유의성은 확보되지 않았으나, 방향성은 일관되게 양(+)으로 나타났다. 이는 공시 품질지수가 높을수록 CAR이 증가하는 경향이 존재할 가능성과 정합적인 결과이다.</w:t>
      </w:r>
    </w:p>
    <w:p w14:paraId="78C05DD4" w14:textId="77777777" w:rsidR="00E91288" w:rsidRPr="005D3E2B" w:rsidRDefault="00E91288" w:rsidP="005D3E2B">
      <w:pPr>
        <w:spacing w:line="360" w:lineRule="auto"/>
        <w:rPr>
          <w:rFonts w:asciiTheme="minorHAnsi" w:eastAsiaTheme="minorHAnsi" w:hAnsiTheme="minorHAnsi"/>
          <w:sz w:val="20"/>
          <w:szCs w:val="20"/>
        </w:rPr>
      </w:pPr>
      <w:r>
        <w:rPr>
          <w:rFonts w:asciiTheme="minorHAnsi" w:eastAsiaTheme="minorHAnsi" w:hAnsiTheme="minorHAnsi"/>
          <w:sz w:val="20"/>
          <w:szCs w:val="20"/>
        </w:rPr>
        <w:t>한편, USDC 단독 표본의 경우 표본 수(N=8)가 제한적인 가운데 SVB 이벤트가 단일 저품질(Q=1) 관측치로 작용하여 모형 설명력이 과도하게 높게 나타나는 현상(R²</w:t>
      </w:r>
      <w:r>
        <w:rPr>
          <w:rFonts w:ascii="Cambria Math" w:eastAsiaTheme="minorHAnsi" w:hAnsi="Cambria Math" w:cs="Cambria Math"/>
          <w:sz w:val="20"/>
          <w:szCs w:val="20"/>
        </w:rPr>
        <w:t>≈</w:t>
      </w:r>
      <w:r>
        <w:rPr>
          <w:rFonts w:asciiTheme="minorHAnsi" w:eastAsiaTheme="minorHAnsi" w:hAnsiTheme="minorHAnsi"/>
          <w:sz w:val="20"/>
          <w:szCs w:val="20"/>
        </w:rPr>
        <w:t>0.999)이 관찰되었다. 이는 특정 이상치에 의해 결과가 민감하게 좌우되는 구조적 한계를 의미하므로, 해당 결과는 참고 수준에서 해석하는 것이 적절하다.</w:t>
      </w:r>
    </w:p>
    <w:p w14:paraId="06DC8A8D" w14:textId="77777777" w:rsidR="00520050" w:rsidRPr="005D3E2B" w:rsidRDefault="00520050" w:rsidP="005D3E2B">
      <w:pPr>
        <w:spacing w:line="360" w:lineRule="auto"/>
        <w:rPr>
          <w:rFonts w:asciiTheme="minorHAnsi" w:eastAsiaTheme="minorHAnsi" w:hAnsiTheme="minorHAnsi"/>
          <w:sz w:val="20"/>
          <w:szCs w:val="20"/>
        </w:rPr>
      </w:pPr>
    </w:p>
    <w:p w14:paraId="55BBF280"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&lt;표 7&gt; 강건성 분석: quality_score 계수 (주 창: CAR(-5,+5))</w:t>
      </w:r>
    </w:p>
    <w:tbl>
      <w:tblPr>
        <w:tblW w:w="8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356"/>
        <w:gridCol w:w="1356"/>
        <w:gridCol w:w="1130"/>
        <w:gridCol w:w="1130"/>
        <w:gridCol w:w="1470"/>
      </w:tblGrid>
      <w:tr w:rsidR="00520050" w:rsidRPr="005D3E2B" w14:paraId="7C8ED364" w14:textId="77777777" w:rsidTr="005D3E2B">
        <w:trPr>
          <w:trHeight w:val="514"/>
        </w:trPr>
        <w:tc>
          <w:tcPr>
            <w:tcW w:w="2374"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265309F1"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b/>
                <w:bCs/>
                <w:sz w:val="20"/>
                <w:szCs w:val="20"/>
              </w:rPr>
              <w:t>표본(N)</w:t>
            </w:r>
          </w:p>
        </w:tc>
        <w:tc>
          <w:tcPr>
            <w:tcW w:w="1356"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AB13C8A"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계수(bp)</w:t>
            </w:r>
          </w:p>
        </w:tc>
        <w:tc>
          <w:tcPr>
            <w:tcW w:w="1356"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5C6C59BD"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p값</w:t>
            </w:r>
          </w:p>
        </w:tc>
        <w:tc>
          <w:tcPr>
            <w:tcW w:w="1130"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43BB9F2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R²</w:t>
            </w:r>
          </w:p>
        </w:tc>
        <w:tc>
          <w:tcPr>
            <w:tcW w:w="1130"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0FD629F6"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Adj-R²</w:t>
            </w:r>
          </w:p>
        </w:tc>
        <w:tc>
          <w:tcPr>
            <w:tcW w:w="1470" w:type="dxa"/>
            <w:tcBorders>
              <w:top w:val="single" w:sz="1" w:space="0" w:color="888888"/>
              <w:left w:val="single" w:sz="1" w:space="0" w:color="888888"/>
              <w:bottom w:val="single" w:sz="1" w:space="0" w:color="888888"/>
              <w:right w:val="single" w:sz="1" w:space="0" w:color="888888"/>
            </w:tcBorders>
            <w:shd w:val="clear" w:color="auto" w:fill="D9E1F2"/>
            <w:tcMar>
              <w:top w:w="60" w:type="dxa"/>
              <w:left w:w="100" w:type="dxa"/>
              <w:bottom w:w="60" w:type="dxa"/>
              <w:right w:w="100" w:type="dxa"/>
            </w:tcMar>
          </w:tcPr>
          <w:p w14:paraId="26148714"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b/>
                <w:bCs/>
                <w:sz w:val="20"/>
                <w:szCs w:val="20"/>
              </w:rPr>
              <w:t>SE</w:t>
            </w:r>
          </w:p>
        </w:tc>
      </w:tr>
      <w:tr w:rsidR="00520050" w:rsidRPr="005D3E2B" w14:paraId="704BD9BF" w14:textId="77777777" w:rsidTr="005D3E2B">
        <w:trPr>
          <w:trHeight w:val="514"/>
        </w:trPr>
        <w:tc>
          <w:tcPr>
            <w:tcW w:w="237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E50AE53"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전체(N=27)</w:t>
            </w:r>
          </w:p>
        </w:tc>
        <w:tc>
          <w:tcPr>
            <w:tcW w:w="13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83C578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+1.57</w:t>
            </w:r>
          </w:p>
        </w:tc>
        <w:tc>
          <w:tcPr>
            <w:tcW w:w="13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DF6CAC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0.160</w:t>
            </w:r>
          </w:p>
        </w:tc>
        <w:tc>
          <w:tcPr>
            <w:tcW w:w="113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FCE3459"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0.109</w:t>
            </w:r>
          </w:p>
        </w:tc>
        <w:tc>
          <w:tcPr>
            <w:tcW w:w="113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4BAFE1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-0.007</w:t>
            </w:r>
          </w:p>
        </w:tc>
        <w:tc>
          <w:tcPr>
            <w:tcW w:w="147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4B1B3CF"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HAC(lag=5)</w:t>
            </w:r>
          </w:p>
        </w:tc>
      </w:tr>
      <w:tr w:rsidR="00520050" w:rsidRPr="005D3E2B" w14:paraId="15E8E0A7" w14:textId="77777777" w:rsidTr="005D3E2B">
        <w:trPr>
          <w:trHeight w:val="514"/>
        </w:trPr>
        <w:tc>
          <w:tcPr>
            <w:tcW w:w="237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8ED7484"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lastRenderedPageBreak/>
              <w:t>극단이벤트 제외(N=25)</w:t>
            </w:r>
          </w:p>
        </w:tc>
        <w:tc>
          <w:tcPr>
            <w:tcW w:w="13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89BB6CF"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+1.56</w:t>
            </w:r>
          </w:p>
        </w:tc>
        <w:tc>
          <w:tcPr>
            <w:tcW w:w="13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8C0E848"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0.174</w:t>
            </w:r>
          </w:p>
        </w:tc>
        <w:tc>
          <w:tcPr>
            <w:tcW w:w="113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B9BFE21"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0.206</w:t>
            </w:r>
          </w:p>
        </w:tc>
        <w:tc>
          <w:tcPr>
            <w:tcW w:w="113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A710804"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+0.092</w:t>
            </w:r>
          </w:p>
        </w:tc>
        <w:tc>
          <w:tcPr>
            <w:tcW w:w="147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D4D34A0"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HAC(lag=5)</w:t>
            </w:r>
          </w:p>
        </w:tc>
      </w:tr>
      <w:tr w:rsidR="00520050" w:rsidRPr="005D3E2B" w14:paraId="2DB5C75F" w14:textId="77777777" w:rsidTr="005D3E2B">
        <w:trPr>
          <w:trHeight w:val="514"/>
        </w:trPr>
        <w:tc>
          <w:tcPr>
            <w:tcW w:w="237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1FF2A55" w14:textId="77777777" w:rsidR="00520050" w:rsidRPr="005D3E2B" w:rsidRDefault="00190F51" w:rsidP="005D3E2B">
            <w:pPr>
              <w:spacing w:line="360" w:lineRule="auto"/>
              <w:jc w:val="both"/>
              <w:rPr>
                <w:rFonts w:asciiTheme="minorHAnsi" w:eastAsiaTheme="minorHAnsi" w:hAnsiTheme="minorHAnsi"/>
                <w:sz w:val="20"/>
                <w:szCs w:val="20"/>
              </w:rPr>
            </w:pPr>
            <w:r>
              <w:rPr>
                <w:rFonts w:asciiTheme="minorHAnsi" w:eastAsiaTheme="minorHAnsi" w:hAnsiTheme="minorHAnsi"/>
                <w:sz w:val="20"/>
                <w:szCs w:val="20"/>
              </w:rPr>
              <w:t>USDT 단독(N=19)</w:t>
            </w:r>
          </w:p>
        </w:tc>
        <w:tc>
          <w:tcPr>
            <w:tcW w:w="13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07B32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+1.63</w:t>
            </w:r>
          </w:p>
        </w:tc>
        <w:tc>
          <w:tcPr>
            <w:tcW w:w="135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371BD4F"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0.183</w:t>
            </w:r>
          </w:p>
        </w:tc>
        <w:tc>
          <w:tcPr>
            <w:tcW w:w="113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D78521E"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0.117</w:t>
            </w:r>
          </w:p>
        </w:tc>
        <w:tc>
          <w:tcPr>
            <w:tcW w:w="113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BF3419B"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+0.007</w:t>
            </w:r>
          </w:p>
        </w:tc>
        <w:tc>
          <w:tcPr>
            <w:tcW w:w="147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E28C90C" w14:textId="77777777" w:rsidR="00520050" w:rsidRPr="005D3E2B" w:rsidRDefault="00190F51" w:rsidP="005D3E2B">
            <w:pPr>
              <w:spacing w:line="360" w:lineRule="auto"/>
              <w:jc w:val="center"/>
              <w:rPr>
                <w:rFonts w:asciiTheme="minorHAnsi" w:eastAsiaTheme="minorHAnsi" w:hAnsiTheme="minorHAnsi"/>
                <w:sz w:val="20"/>
                <w:szCs w:val="20"/>
              </w:rPr>
            </w:pPr>
            <w:r>
              <w:rPr>
                <w:rFonts w:asciiTheme="minorHAnsi" w:eastAsiaTheme="minorHAnsi" w:hAnsiTheme="minorHAnsi"/>
                <w:sz w:val="20"/>
                <w:szCs w:val="20"/>
              </w:rPr>
              <w:t>HAC(lag=5)</w:t>
            </w:r>
          </w:p>
        </w:tc>
      </w:tr>
    </w:tbl>
    <w:p w14:paraId="31AE64A6" w14:textId="77777777" w:rsidR="00E91288" w:rsidRPr="005D3E2B" w:rsidRDefault="00E91288" w:rsidP="005D3E2B">
      <w:pPr>
        <w:spacing w:line="360" w:lineRule="auto"/>
        <w:rPr>
          <w:rFonts w:asciiTheme="minorHAnsi" w:eastAsiaTheme="minorHAnsi" w:hAnsiTheme="minorHAnsi"/>
          <w:sz w:val="18"/>
          <w:szCs w:val="18"/>
        </w:rPr>
      </w:pPr>
      <w:r>
        <w:rPr>
          <w:rFonts w:asciiTheme="minorHAnsi" w:eastAsiaTheme="minorHAnsi" w:hAnsiTheme="minorHAnsi"/>
          <w:sz w:val="18"/>
          <w:szCs w:val="18"/>
        </w:rPr>
        <w:t>주: 극단 이벤트는 SVB 파산(2023-03-10)과 FTX 파산(2022-11-11)을 의미한다. 모든 모형에서 HAC(Newey-West) 표준오차를 적용하였다.</w:t>
      </w:r>
    </w:p>
    <w:p w14:paraId="0A5805AE" w14:textId="77777777" w:rsidR="00520050" w:rsidRPr="005D3E2B" w:rsidRDefault="00520050" w:rsidP="005D3E2B">
      <w:pPr>
        <w:spacing w:line="360" w:lineRule="auto"/>
        <w:rPr>
          <w:rFonts w:asciiTheme="minorHAnsi" w:eastAsiaTheme="minorHAnsi" w:hAnsiTheme="minorHAnsi"/>
          <w:sz w:val="20"/>
          <w:szCs w:val="20"/>
        </w:rPr>
      </w:pPr>
    </w:p>
    <w:p w14:paraId="6DDEA1B9" w14:textId="77777777" w:rsidR="00520050" w:rsidRPr="005D3E2B" w:rsidRDefault="00190F51" w:rsidP="005D3E2B">
      <w:pPr>
        <w:spacing w:before="80" w:after="80" w:line="360" w:lineRule="auto"/>
        <w:jc w:val="center"/>
        <w:rPr>
          <w:rFonts w:asciiTheme="minorHAnsi" w:eastAsiaTheme="minorHAnsi" w:hAnsiTheme="minorHAnsi"/>
          <w:sz w:val="20"/>
          <w:szCs w:val="20"/>
        </w:rPr>
      </w:pPr>
      <w:r>
        <w:rPr>
          <w:rFonts w:asciiTheme="minorHAnsi" w:eastAsiaTheme="minorHAnsi" w:hAnsiTheme="minorHAnsi"/>
          <w:noProof/>
          <w:sz w:val="20"/>
          <w:szCs w:val="20"/>
        </w:rPr>
        <w:drawing>
          <wp:inline distT="0" distB="0" distL="0" distR="0" wp14:anchorId="59D896BC" wp14:editId="651B7D9D">
            <wp:extent cx="5715000" cy="2952750"/>
            <wp:effectExtent l="0" t="0" r="0" b="0"/>
            <wp:docPr id="1405045475" name="그림 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952750"/>
                    </a:xfrm>
                    <a:prstGeom prst="rect">
                      <a:avLst/>
                    </a:prstGeom>
                  </pic:spPr>
                </pic:pic>
              </a:graphicData>
            </a:graphic>
          </wp:inline>
        </w:drawing>
      </w:r>
    </w:p>
    <w:p w14:paraId="10EF3B48" w14:textId="77777777" w:rsidR="00F109A3" w:rsidRPr="005D3E2B" w:rsidRDefault="00F109A3" w:rsidP="005D3E2B">
      <w:pPr>
        <w:spacing w:before="80" w:after="120" w:line="360" w:lineRule="auto"/>
        <w:jc w:val="center"/>
        <w:rPr>
          <w:rFonts w:asciiTheme="minorHAnsi" w:eastAsiaTheme="minorHAnsi" w:hAnsiTheme="minorHAnsi"/>
          <w:b/>
          <w:bCs/>
          <w:sz w:val="20"/>
          <w:szCs w:val="20"/>
        </w:rPr>
      </w:pPr>
      <w:r>
        <w:rPr>
          <w:rFonts w:asciiTheme="minorHAnsi" w:eastAsiaTheme="minorHAnsi" w:hAnsiTheme="minorHAnsi"/>
          <w:b/>
          <w:bCs/>
          <w:noProof/>
          <w:sz w:val="20"/>
          <w:szCs w:val="20"/>
        </w:rPr>
        <w:drawing>
          <wp:inline distT="0" distB="0" distL="0" distR="0" wp14:anchorId="5859C0EF" wp14:editId="4F011DF6">
            <wp:extent cx="5568950" cy="2286000"/>
            <wp:effectExtent l="0" t="0" r="0" b="0"/>
            <wp:docPr id="70467876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68950" cy="2286000"/>
                    </a:xfrm>
                    <a:prstGeom prst="rect">
                      <a:avLst/>
                    </a:prstGeom>
                    <a:noFill/>
                    <a:ln>
                      <a:noFill/>
                    </a:ln>
                  </pic:spPr>
                </pic:pic>
              </a:graphicData>
            </a:graphic>
          </wp:inline>
        </w:drawing>
      </w:r>
    </w:p>
    <w:p w14:paraId="44C20369" w14:textId="77777777" w:rsidR="00520050" w:rsidRPr="005D3E2B" w:rsidRDefault="00190F51" w:rsidP="005D3E2B">
      <w:pPr>
        <w:spacing w:before="80" w:after="120" w:line="360" w:lineRule="auto"/>
        <w:jc w:val="center"/>
        <w:rPr>
          <w:rFonts w:asciiTheme="minorHAnsi" w:eastAsiaTheme="minorHAnsi" w:hAnsiTheme="minorHAnsi"/>
          <w:sz w:val="20"/>
          <w:szCs w:val="20"/>
        </w:rPr>
      </w:pPr>
      <w:r>
        <w:rPr>
          <w:rFonts w:asciiTheme="minorHAnsi" w:eastAsiaTheme="minorHAnsi" w:hAnsiTheme="minorHAnsi"/>
          <w:b/>
          <w:bCs/>
          <w:sz w:val="20"/>
          <w:szCs w:val="20"/>
        </w:rPr>
        <w:t>[그림 6] 강건성 분석: quality_score 계수 비교</w:t>
      </w:r>
    </w:p>
    <w:p w14:paraId="6209AD35" w14:textId="77777777" w:rsidR="00520050" w:rsidRPr="005D3E2B" w:rsidRDefault="00190F51" w:rsidP="005D3E2B">
      <w:pPr>
        <w:spacing w:before="40" w:after="80" w:line="360" w:lineRule="auto"/>
        <w:jc w:val="both"/>
        <w:rPr>
          <w:rFonts w:asciiTheme="minorHAnsi" w:eastAsiaTheme="minorHAnsi" w:hAnsiTheme="minorHAnsi"/>
          <w:sz w:val="18"/>
          <w:szCs w:val="18"/>
        </w:rPr>
      </w:pPr>
      <w:r>
        <w:rPr>
          <w:rFonts w:asciiTheme="minorHAnsi" w:eastAsiaTheme="minorHAnsi" w:hAnsiTheme="minorHAnsi"/>
          <w:sz w:val="18"/>
          <w:szCs w:val="18"/>
        </w:rPr>
        <w:t>주: 세 표본(전체/극단이벤트제외/USDT단독)의 이벤트창별 quality_score 계수(bp). ★ 표시 CAR(</w:t>
      </w:r>
      <w:r>
        <w:rPr>
          <w:rFonts w:ascii="Cambria Math" w:eastAsiaTheme="minorHAnsi" w:hAnsi="Cambria Math" w:cs="Cambria Math"/>
          <w:sz w:val="18"/>
          <w:szCs w:val="18"/>
        </w:rPr>
        <w:t>−</w:t>
      </w:r>
      <w:r>
        <w:rPr>
          <w:rFonts w:asciiTheme="minorHAnsi" w:eastAsiaTheme="minorHAnsi" w:hAnsiTheme="minorHAnsi"/>
          <w:sz w:val="18"/>
          <w:szCs w:val="18"/>
        </w:rPr>
        <w:t>5,+5)가 주 분석 창(금색 음영). CAR(</w:t>
      </w:r>
      <w:r>
        <w:rPr>
          <w:rFonts w:ascii="Cambria Math" w:eastAsiaTheme="minorHAnsi" w:hAnsi="Cambria Math" w:cs="Cambria Math"/>
          <w:sz w:val="18"/>
          <w:szCs w:val="18"/>
        </w:rPr>
        <w:t>−</w:t>
      </w:r>
      <w:r>
        <w:rPr>
          <w:rFonts w:asciiTheme="minorHAnsi" w:eastAsiaTheme="minorHAnsi" w:hAnsiTheme="minorHAnsi"/>
          <w:sz w:val="18"/>
          <w:szCs w:val="18"/>
        </w:rPr>
        <w:t>1,+1)은 표본별 불안정 구간.</w:t>
      </w:r>
    </w:p>
    <w:p w14:paraId="2846B0D5" w14:textId="77777777" w:rsidR="00520050" w:rsidRPr="005D3E2B" w:rsidRDefault="00520050" w:rsidP="005D3E2B">
      <w:pPr>
        <w:spacing w:line="360" w:lineRule="auto"/>
        <w:rPr>
          <w:rFonts w:asciiTheme="minorHAnsi" w:eastAsiaTheme="minorHAnsi" w:hAnsiTheme="minorHAnsi"/>
          <w:sz w:val="20"/>
          <w:szCs w:val="20"/>
        </w:rPr>
      </w:pPr>
    </w:p>
    <w:p w14:paraId="3AFAA868" w14:textId="77777777" w:rsidR="00520050" w:rsidRPr="005D3E2B" w:rsidRDefault="00190F51" w:rsidP="005D3E2B">
      <w:pPr>
        <w:pStyle w:val="1"/>
        <w:spacing w:line="360" w:lineRule="auto"/>
        <w:rPr>
          <w:rFonts w:asciiTheme="minorHAnsi" w:eastAsiaTheme="minorHAnsi" w:hAnsiTheme="minorHAnsi"/>
          <w:sz w:val="20"/>
          <w:szCs w:val="20"/>
        </w:rPr>
      </w:pPr>
      <w:r>
        <w:rPr>
          <w:rFonts w:asciiTheme="minorHAnsi" w:eastAsiaTheme="minorHAnsi" w:hAnsiTheme="minorHAnsi"/>
          <w:sz w:val="20"/>
          <w:szCs w:val="20"/>
        </w:rPr>
        <w:t>Ⅴ. 결론 및 시사점</w:t>
      </w:r>
    </w:p>
    <w:p w14:paraId="3D1B6D21" w14:textId="77777777" w:rsidR="003F1EC9" w:rsidRPr="005D3E2B" w:rsidRDefault="003F1EC9" w:rsidP="005D3E2B">
      <w:pPr>
        <w:spacing w:line="360" w:lineRule="auto"/>
        <w:rPr>
          <w:rFonts w:asciiTheme="minorHAnsi" w:eastAsiaTheme="minorHAnsi" w:hAnsiTheme="minorHAnsi"/>
          <w:b/>
          <w:bCs/>
          <w:sz w:val="20"/>
          <w:szCs w:val="20"/>
        </w:rPr>
      </w:pPr>
      <w:r>
        <w:rPr>
          <w:rFonts w:asciiTheme="minorHAnsi" w:eastAsiaTheme="minorHAnsi" w:hAnsiTheme="minorHAnsi"/>
          <w:b/>
          <w:bCs/>
          <w:sz w:val="20"/>
          <w:szCs w:val="20"/>
        </w:rPr>
        <w:t>1. 연구결과 요약</w:t>
      </w:r>
    </w:p>
    <w:p w14:paraId="6036728A"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본 연구는 2021년부터 2024년까지의 USDT 및 USDC 준비금 공시·규제·감사 이벤트 27건을 대상으로 이벤트 연구(event study)를 수행하였다.</w:t>
      </w:r>
    </w:p>
    <w:p w14:paraId="23D4F306"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첫째, 주 분석 창 CAR(</w:t>
      </w:r>
      <w:r>
        <w:rPr>
          <w:rFonts w:ascii="Cambria Math" w:eastAsiaTheme="minorHAnsi" w:hAnsi="Cambria Math" w:cs="Cambria Math"/>
          <w:sz w:val="20"/>
          <w:szCs w:val="20"/>
        </w:rPr>
        <w:t>−</w:t>
      </w:r>
      <w:r>
        <w:rPr>
          <w:rFonts w:asciiTheme="minorHAnsi" w:eastAsiaTheme="minorHAnsi" w:hAnsiTheme="minorHAnsi"/>
          <w:sz w:val="20"/>
          <w:szCs w:val="20"/>
        </w:rPr>
        <w:t>5,+5) 기준에서 USDT +0.254%(p=0.839), USDC +0.408%(p=0.578)로 나타나, 공시 이벤트가 평균적으로 유의한 비정상수익률을 유발한다는 증거는 확인되지 않았다(H1 기각). 이는 스테이블코인의 가격 안정화 메커니즘이 공시 충격을 흡수하거나, 정기 공시가 사전에 가격에 반영된 예측 가능한 이벤트로 인식될 가능성을 시사한다. 두 해석의 상대적 중요성은 향후 예상 공시와 비예상 공시를 구분한 연구를 통해 추가 검증될 필요가 있다.</w:t>
      </w:r>
    </w:p>
    <w:p w14:paraId="3B7BED52" w14:textId="2DE03844" w:rsidR="00E91288" w:rsidRPr="005D3E2B" w:rsidRDefault="00E91288" w:rsidP="005D3E2B">
      <w:pPr>
        <w:spacing w:line="360" w:lineRule="auto"/>
        <w:ind w:firstLineChars="100" w:firstLine="200"/>
        <w:rPr>
          <w:rFonts w:asciiTheme="minorHAnsi" w:eastAsiaTheme="minorHAnsi" w:hAnsiTheme="minorHAnsi" w:hint="eastAsia"/>
          <w:sz w:val="20"/>
          <w:szCs w:val="20"/>
        </w:rPr>
      </w:pPr>
      <w:r>
        <w:rPr>
          <w:rFonts w:asciiTheme="minorHAnsi" w:eastAsiaTheme="minorHAnsi" w:hAnsiTheme="minorHAnsi"/>
          <w:sz w:val="20"/>
          <w:szCs w:val="20"/>
        </w:rPr>
        <w:t>둘째, 공시 품질지수의 계수는 +1.57bp(p=0.160)로 이론적 예측 방향과는 일치하였으나 통계적으로 유의하지 않아 H2에 대한 지지는 확인되지 않았다. 다만 전체 및 하위 표본에서 계수의 방향성이 일관되게 양(+)으로 나타나 공시 품질과 시장반응 간 관계가 존재할 가능성</w:t>
      </w:r>
      <w:r w:rsidR="009E1DDA">
        <w:rPr>
          <w:rFonts w:asciiTheme="minorHAnsi" w:eastAsiaTheme="minorHAnsi" w:hAnsiTheme="minorHAnsi" w:hint="eastAsia"/>
          <w:sz w:val="20"/>
          <w:szCs w:val="20"/>
        </w:rPr>
        <w:t>을 보여준다.</w:t>
      </w:r>
    </w:p>
    <w:p w14:paraId="1C4C28D9"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셋째, 이벤트 유형별 분석에서는 USDT와 USDC 간 상이한 반응 구조가 확인되었다. USDT의 경우 부정적 이벤트 상황에서 상대적으로 높은 CAR이 나타나는 패턴이 관찰되어 시장 불안 국면에서의 도피처 효과 가능성과 정합적인 결과를 보였다. 반면 USDC는 SVB 파산 사례에서 CAR(</w:t>
      </w:r>
      <w:r>
        <w:rPr>
          <w:rFonts w:ascii="Cambria Math" w:eastAsiaTheme="minorHAnsi" w:hAnsi="Cambria Math" w:cs="Cambria Math"/>
          <w:sz w:val="20"/>
          <w:szCs w:val="20"/>
        </w:rPr>
        <w:t>−</w:t>
      </w:r>
      <w:r>
        <w:rPr>
          <w:rFonts w:asciiTheme="minorHAnsi" w:eastAsiaTheme="minorHAnsi" w:hAnsiTheme="minorHAnsi"/>
          <w:sz w:val="20"/>
          <w:szCs w:val="20"/>
        </w:rPr>
        <w:t xml:space="preserve">1,+1) = </w:t>
      </w:r>
      <w:r>
        <w:rPr>
          <w:rFonts w:ascii="Cambria Math" w:eastAsiaTheme="minorHAnsi" w:hAnsi="Cambria Math" w:cs="Cambria Math"/>
          <w:sz w:val="20"/>
          <w:szCs w:val="20"/>
        </w:rPr>
        <w:t>−</w:t>
      </w:r>
      <w:r>
        <w:rPr>
          <w:rFonts w:asciiTheme="minorHAnsi" w:eastAsiaTheme="minorHAnsi" w:hAnsiTheme="minorHAnsi"/>
          <w:sz w:val="20"/>
          <w:szCs w:val="20"/>
        </w:rPr>
        <w:t>287.73%의 극단적 충격을 경험함으로써 준비금 구성의 집중도가 내포하는 취약성을 보여주었다.</w:t>
      </w:r>
    </w:p>
    <w:p w14:paraId="7EF4D125" w14:textId="77777777" w:rsidR="003F1EC9" w:rsidRPr="005D3E2B" w:rsidRDefault="003F1EC9" w:rsidP="005D3E2B">
      <w:pPr>
        <w:spacing w:line="360" w:lineRule="auto"/>
        <w:rPr>
          <w:rFonts w:asciiTheme="minorHAnsi" w:eastAsiaTheme="minorHAnsi" w:hAnsiTheme="minorHAnsi"/>
          <w:b/>
          <w:bCs/>
          <w:sz w:val="20"/>
          <w:szCs w:val="20"/>
        </w:rPr>
      </w:pPr>
      <w:r>
        <w:rPr>
          <w:rFonts w:asciiTheme="minorHAnsi" w:eastAsiaTheme="minorHAnsi" w:hAnsiTheme="minorHAnsi"/>
          <w:b/>
          <w:bCs/>
          <w:sz w:val="20"/>
          <w:szCs w:val="20"/>
        </w:rPr>
        <w:t>2. 학술적 기여</w:t>
      </w:r>
    </w:p>
    <w:p w14:paraId="11087D38"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본 연구의 학술적 기여는 다음과 같다.</w:t>
      </w:r>
      <w:r>
        <w:rPr>
          <w:rFonts w:asciiTheme="minorHAnsi" w:eastAsiaTheme="minorHAnsi" w:hAnsiTheme="minorHAnsi" w:hint="eastAsia"/>
          <w:sz w:val="20"/>
          <w:szCs w:val="20"/>
        </w:rPr>
        <w:t xml:space="preserve"> </w:t>
      </w:r>
    </w:p>
    <w:p w14:paraId="0DB87BBA"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첫째, 스테이블코인 준비금 공시·감사·규제 이벤트를 체계적으로 수집·분류하고 이벤트 연구 방법론을 적용함으로써, 기존 법규제 중심 연구가 제기한 준비금 투명성 문제를 실증적으로 분석하였다. 이는 법학과 재무금융 간의 학제 간 연구를 연결하는 경험적 근거를 제공한다.</w:t>
      </w:r>
    </w:p>
    <w:p w14:paraId="796F52C0"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둘째, 준비금 투명성을 정량화한 공시 품질지수(1~5점; 총액·구성·세부·제3자 검증 기준)를 제시</w:t>
      </w:r>
      <w:r>
        <w:rPr>
          <w:rFonts w:asciiTheme="minorHAnsi" w:eastAsiaTheme="minorHAnsi" w:hAnsiTheme="minorHAnsi"/>
          <w:sz w:val="20"/>
          <w:szCs w:val="20"/>
        </w:rPr>
        <w:lastRenderedPageBreak/>
        <w:t>함으로써, 향후 관련 연구에서 활용 가능한 측정 도구를 개발하였다.</w:t>
      </w:r>
    </w:p>
    <w:p w14:paraId="3EC69B31"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셋째, 이벤트창 오염 문제를 명시적으로 통제하고 HAC, HC3, 부트스트랩을 병행 적용함으로써, 소표본 환경에서의 사건연구 방법론의 적용 가능성을 확장하였다.</w:t>
      </w:r>
    </w:p>
    <w:p w14:paraId="0053A2ED" w14:textId="77777777" w:rsidR="003F1EC9" w:rsidRPr="005D3E2B" w:rsidRDefault="003F1EC9" w:rsidP="005D3E2B">
      <w:pPr>
        <w:spacing w:line="360" w:lineRule="auto"/>
        <w:rPr>
          <w:rFonts w:asciiTheme="minorHAnsi" w:eastAsiaTheme="minorHAnsi" w:hAnsiTheme="minorHAnsi"/>
          <w:b/>
          <w:bCs/>
          <w:sz w:val="20"/>
          <w:szCs w:val="20"/>
        </w:rPr>
      </w:pPr>
      <w:r>
        <w:rPr>
          <w:rFonts w:asciiTheme="minorHAnsi" w:eastAsiaTheme="minorHAnsi" w:hAnsiTheme="minorHAnsi"/>
          <w:b/>
          <w:bCs/>
          <w:sz w:val="20"/>
          <w:szCs w:val="20"/>
        </w:rPr>
        <w:t>3. 정책적 시사점</w:t>
      </w:r>
    </w:p>
    <w:p w14:paraId="239E13AC"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본 연구는 다음과 같은 정책적 시사점을 제공한다.</w:t>
      </w:r>
    </w:p>
    <w:p w14:paraId="02658275"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첫째, 준비금 공시가 단기 가격 반응으로 충분히 구현되지 않는다는 결과는 공시 제도의 효과가 제한적일 수 있음을 의미한다. 따라서 공시의 형식적 의무화뿐 아니라, 정보의 비교 가능성과 접근성을 확보하기 위한 표준화된 공시 체계와 투자자 이해도 제고가 병행될 필요가 있다.</w:t>
      </w:r>
    </w:p>
    <w:p w14:paraId="0B4A839F"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둘째, USDC의 SVB 사례에서 확인된 바와 같이 특정 금융기관에 대한 준비금 의존은 시스템 리스크를 증폭시킬 수 있다. 이에 따라 원화 스테이블코인 제도 설계 시 준비금 분산 의무 및 기관별 예치 한도 설정이 중요한 정책 수단이 될 수 있다.</w:t>
      </w:r>
    </w:p>
    <w:p w14:paraId="44A81852"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셋째, USDT에서 나타난 도피처 효과 가능성은 시장 충격 시 특정 스테이블코인으로의 자금 쏠림이 발생할 수 있음을 시사한다. 이는 원화 스테이블코인의 유동성 안정성 확보를 위해 추가적인 유동성 버퍼 및 환매 대응 메커니즘이 필요함을 의미한다.</w:t>
      </w:r>
    </w:p>
    <w:p w14:paraId="7FB9DD0A" w14:textId="77777777" w:rsidR="00E91288" w:rsidRPr="005D3E2B" w:rsidRDefault="00E91288" w:rsidP="005D3E2B">
      <w:pPr>
        <w:spacing w:line="360" w:lineRule="auto"/>
        <w:rPr>
          <w:rFonts w:asciiTheme="minorHAnsi" w:eastAsiaTheme="minorHAnsi" w:hAnsiTheme="minorHAnsi"/>
          <w:b/>
          <w:bCs/>
          <w:sz w:val="20"/>
          <w:szCs w:val="20"/>
        </w:rPr>
      </w:pPr>
    </w:p>
    <w:p w14:paraId="1861C2B2" w14:textId="77777777" w:rsidR="003F1EC9" w:rsidRPr="005D3E2B" w:rsidRDefault="003F1EC9" w:rsidP="005D3E2B">
      <w:pPr>
        <w:spacing w:line="360" w:lineRule="auto"/>
        <w:rPr>
          <w:rFonts w:asciiTheme="minorHAnsi" w:eastAsiaTheme="minorHAnsi" w:hAnsiTheme="minorHAnsi"/>
          <w:b/>
          <w:bCs/>
          <w:sz w:val="20"/>
          <w:szCs w:val="20"/>
        </w:rPr>
      </w:pPr>
      <w:r>
        <w:rPr>
          <w:rFonts w:asciiTheme="minorHAnsi" w:eastAsiaTheme="minorHAnsi" w:hAnsiTheme="minorHAnsi"/>
          <w:b/>
          <w:bCs/>
          <w:sz w:val="20"/>
          <w:szCs w:val="20"/>
        </w:rPr>
        <w:t>4. 연구의 한계 및 향후 과제</w:t>
      </w:r>
    </w:p>
    <w:p w14:paraId="7976D617"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본 연구는 다음과 같은 한계를 가진다.</w:t>
      </w:r>
    </w:p>
    <w:p w14:paraId="5F002FBB"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첫째, 분석 이벤트 수가 27건으로 제한되어 있어 통계적 검정력이 충분하지 않을 수 있다. 향후 PYUSD, RLUSD 등 신규 스테이블코인을 포함한 확장 분석이 필요하다.</w:t>
      </w:r>
    </w:p>
    <w:p w14:paraId="2534110C"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둘째, USDC의 부정 이벤트가 단일 사례에 그쳐 비대칭성 검정(H3)에 대한 충분한 일반화가 어렵다. 추가적인 사건 축적을 통한 재검증이 요구된다.</w:t>
      </w:r>
    </w:p>
    <w:p w14:paraId="597EB35A"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셋째, 보완 분석 결과 공시 효과가 가격보다는 거래량, 유동성, 환매 흐름과 같은 채널을 통해 나타날 가능성이 제기되었다. 향후 연구에서는 온체인 데이터와 가격 데이터를 결합한 분석이 필요하다.</w:t>
      </w:r>
    </w:p>
    <w:p w14:paraId="6CB37429" w14:textId="77777777" w:rsidR="00E91288" w:rsidRPr="005D3E2B" w:rsidRDefault="00E91288" w:rsidP="005D3E2B">
      <w:pPr>
        <w:spacing w:line="360" w:lineRule="auto"/>
        <w:ind w:firstLineChars="100" w:firstLine="200"/>
        <w:rPr>
          <w:rFonts w:asciiTheme="minorHAnsi" w:eastAsiaTheme="minorHAnsi" w:hAnsiTheme="minorHAnsi"/>
          <w:sz w:val="20"/>
          <w:szCs w:val="20"/>
        </w:rPr>
      </w:pPr>
      <w:r>
        <w:rPr>
          <w:rFonts w:asciiTheme="minorHAnsi" w:eastAsiaTheme="minorHAnsi" w:hAnsiTheme="minorHAnsi"/>
          <w:sz w:val="20"/>
          <w:szCs w:val="20"/>
        </w:rPr>
        <w:t>넷째, 향후 원화 스테이블코인 도입 이후의 비교 연구 및 글로벌 규제 수렴이 시장 반응에 미치는 영향에 대한 분석도 중요한 연구 과제로 남는다.</w:t>
      </w:r>
    </w:p>
    <w:p w14:paraId="3B7C3B63" w14:textId="77777777" w:rsidR="00520050" w:rsidRPr="005D3E2B" w:rsidRDefault="00520050" w:rsidP="005D3E2B">
      <w:pPr>
        <w:spacing w:line="360" w:lineRule="auto"/>
        <w:rPr>
          <w:rFonts w:asciiTheme="minorHAnsi" w:eastAsiaTheme="minorHAnsi" w:hAnsiTheme="minorHAnsi"/>
          <w:sz w:val="20"/>
          <w:szCs w:val="20"/>
        </w:rPr>
      </w:pPr>
    </w:p>
    <w:p w14:paraId="27FF0D6C" w14:textId="77777777" w:rsidR="00520050" w:rsidRPr="005D3E2B" w:rsidRDefault="00190F51" w:rsidP="005D3E2B">
      <w:pPr>
        <w:pStyle w:val="1"/>
        <w:spacing w:line="360" w:lineRule="auto"/>
        <w:rPr>
          <w:rFonts w:asciiTheme="minorHAnsi" w:eastAsiaTheme="minorHAnsi" w:hAnsiTheme="minorHAnsi"/>
          <w:sz w:val="20"/>
          <w:szCs w:val="20"/>
        </w:rPr>
      </w:pPr>
      <w:r>
        <w:rPr>
          <w:rFonts w:asciiTheme="minorHAnsi" w:eastAsiaTheme="minorHAnsi" w:hAnsiTheme="minorHAnsi"/>
          <w:sz w:val="20"/>
          <w:szCs w:val="20"/>
        </w:rPr>
        <w:t>Abstract</w:t>
      </w:r>
    </w:p>
    <w:p w14:paraId="7EB2B482" w14:textId="77777777" w:rsidR="00E91288" w:rsidRPr="005D3E2B" w:rsidRDefault="00E91288" w:rsidP="005D3E2B">
      <w:pPr>
        <w:spacing w:line="360" w:lineRule="auto"/>
        <w:ind w:firstLineChars="100" w:firstLine="200"/>
        <w:rPr>
          <w:rFonts w:asciiTheme="minorHAnsi" w:eastAsiaTheme="minorHAnsi" w:hAnsiTheme="minorHAnsi" w:cs="Times New Roman"/>
          <w:sz w:val="20"/>
          <w:szCs w:val="20"/>
        </w:rPr>
      </w:pPr>
      <w:r>
        <w:rPr>
          <w:rFonts w:asciiTheme="minorHAnsi" w:eastAsiaTheme="minorHAnsi" w:hAnsiTheme="minorHAnsi" w:cs="Times New Roman"/>
          <w:sz w:val="20"/>
          <w:szCs w:val="20"/>
        </w:rPr>
        <w:t>This study examines the market reaction to 27 reserve disclosure events (19 USDT, 8 USDC) of the two largest dollar-pegged stablecoins from January 2021 to December 2024, using an event study methodology based on a Bitcoin market model. We develop a four-criterion disclosure quality index (total amount, asset composition, issuer detail, and third-party attestation) and estimate cumulative abnormal returns (CARs) across multiple event windows, applying HAC/HC3 robust standard errors and bootstrap confidence intervals (5,000 replications).</w:t>
      </w:r>
    </w:p>
    <w:p w14:paraId="28C3DBFC" w14:textId="77777777" w:rsidR="00E91288" w:rsidRPr="005D3E2B" w:rsidRDefault="00E91288" w:rsidP="005D3E2B">
      <w:pPr>
        <w:spacing w:line="360" w:lineRule="auto"/>
        <w:ind w:firstLineChars="100" w:firstLine="200"/>
        <w:rPr>
          <w:rFonts w:asciiTheme="minorHAnsi" w:eastAsiaTheme="minorHAnsi" w:hAnsiTheme="minorHAnsi" w:cs="Times New Roman"/>
          <w:sz w:val="20"/>
          <w:szCs w:val="20"/>
        </w:rPr>
      </w:pPr>
      <w:r>
        <w:rPr>
          <w:rFonts w:asciiTheme="minorHAnsi" w:eastAsiaTheme="minorHAnsi" w:hAnsiTheme="minorHAnsi" w:cs="Times New Roman"/>
          <w:sz w:val="20"/>
          <w:szCs w:val="20"/>
        </w:rPr>
        <w:t>The results show no statistically significant market reaction in the primary window CAR(</w:t>
      </w:r>
      <w:r>
        <w:rPr>
          <w:rFonts w:ascii="Cambria Math" w:eastAsiaTheme="minorHAnsi" w:hAnsi="Cambria Math" w:cs="Cambria Math"/>
          <w:sz w:val="20"/>
          <w:szCs w:val="20"/>
        </w:rPr>
        <w:t>−</w:t>
      </w:r>
      <w:r>
        <w:rPr>
          <w:rFonts w:asciiTheme="minorHAnsi" w:eastAsiaTheme="minorHAnsi" w:hAnsiTheme="minorHAnsi" w:cs="Times New Roman"/>
          <w:sz w:val="20"/>
          <w:szCs w:val="20"/>
        </w:rPr>
        <w:t xml:space="preserve">5,+5), with USDT at +0.254% (p=0.839) and USDC at +0.408% (p=0.578). The disclosure quality score exhibits a positive but statistically insignificant effect (+1.57 bp, p=0.160), indicating a directionally consistent but economically modest relationship. A pattern consistent with a flight-to-safety effect is observed in USDT, where negative events yield higher CARs (+2.41%) than positive events (+0.56%), although the statistical significance of this effect is limited. In contrast, USDC experienced an extreme shock of </w:t>
      </w:r>
      <w:r>
        <w:rPr>
          <w:rFonts w:ascii="Cambria Math" w:eastAsiaTheme="minorHAnsi" w:hAnsi="Cambria Math" w:cs="Cambria Math"/>
          <w:sz w:val="20"/>
          <w:szCs w:val="20"/>
        </w:rPr>
        <w:t>−</w:t>
      </w:r>
      <w:r>
        <w:rPr>
          <w:rFonts w:asciiTheme="minorHAnsi" w:eastAsiaTheme="minorHAnsi" w:hAnsiTheme="minorHAnsi" w:cs="Times New Roman"/>
          <w:sz w:val="20"/>
          <w:szCs w:val="20"/>
        </w:rPr>
        <w:t>287.73% during the SVB collapse, highlighting its sensitivity to concentrated reserve exposures.</w:t>
      </w:r>
    </w:p>
    <w:p w14:paraId="7CDB16A7" w14:textId="77777777" w:rsidR="00E91288" w:rsidRPr="005D3E2B" w:rsidRDefault="00E91288" w:rsidP="005D3E2B">
      <w:pPr>
        <w:spacing w:line="360" w:lineRule="auto"/>
        <w:ind w:firstLineChars="100" w:firstLine="200"/>
        <w:rPr>
          <w:rFonts w:asciiTheme="minorHAnsi" w:eastAsiaTheme="minorHAnsi" w:hAnsiTheme="minorHAnsi" w:cs="Times New Roman"/>
          <w:sz w:val="20"/>
          <w:szCs w:val="20"/>
        </w:rPr>
      </w:pPr>
      <w:r>
        <w:rPr>
          <w:rFonts w:asciiTheme="minorHAnsi" w:eastAsiaTheme="minorHAnsi" w:hAnsiTheme="minorHAnsi" w:cs="Times New Roman"/>
          <w:sz w:val="20"/>
          <w:szCs w:val="20"/>
        </w:rPr>
        <w:t>Robustness checks confirm a consistently positive coefficient of the disclosure quality index across sub-samples (+1.56 to +1.63 bp), despite a lack of statistical significance. Overall, the findings suggest that while reserve disclosure may not immediately affect stablecoin prices, it may influence market dynamics through alternative channels such as liquidity and investor behavior.</w:t>
      </w:r>
    </w:p>
    <w:p w14:paraId="7C010923" w14:textId="77777777" w:rsidR="00E91288" w:rsidRPr="005D3E2B" w:rsidRDefault="00E91288" w:rsidP="005D3E2B">
      <w:pPr>
        <w:spacing w:line="360" w:lineRule="auto"/>
        <w:ind w:firstLineChars="100" w:firstLine="200"/>
        <w:rPr>
          <w:rFonts w:asciiTheme="minorHAnsi" w:eastAsiaTheme="minorHAnsi" w:hAnsiTheme="minorHAnsi" w:cs="Times New Roman"/>
          <w:sz w:val="20"/>
          <w:szCs w:val="20"/>
        </w:rPr>
      </w:pPr>
      <w:r>
        <w:rPr>
          <w:rFonts w:asciiTheme="minorHAnsi" w:eastAsiaTheme="minorHAnsi" w:hAnsiTheme="minorHAnsi" w:cs="Times New Roman"/>
          <w:sz w:val="20"/>
          <w:szCs w:val="20"/>
        </w:rPr>
        <w:t xml:space="preserve">From a policy perspective, the results imply that standardized disclosure frameworks, reserve diversification requirements, and liquidity buffer regulations are likely to constitute important </w:t>
      </w:r>
      <w:r>
        <w:rPr>
          <w:rFonts w:asciiTheme="minorHAnsi" w:eastAsiaTheme="minorHAnsi" w:hAnsiTheme="minorHAnsi" w:cs="Times New Roman"/>
          <w:sz w:val="20"/>
          <w:szCs w:val="20"/>
        </w:rPr>
        <w:lastRenderedPageBreak/>
        <w:t>elements in the design of forthcoming Korean stablecoin regulations.</w:t>
      </w:r>
    </w:p>
    <w:p w14:paraId="4EC88950" w14:textId="77777777" w:rsidR="00520050" w:rsidRPr="005D3E2B" w:rsidRDefault="00520050" w:rsidP="005D3E2B">
      <w:pPr>
        <w:spacing w:line="360" w:lineRule="auto"/>
        <w:rPr>
          <w:rFonts w:asciiTheme="minorHAnsi" w:eastAsiaTheme="minorHAnsi" w:hAnsiTheme="minorHAnsi"/>
          <w:sz w:val="20"/>
          <w:szCs w:val="20"/>
        </w:rPr>
      </w:pPr>
    </w:p>
    <w:p w14:paraId="7E4896CE"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b/>
          <w:bCs/>
          <w:sz w:val="20"/>
          <w:szCs w:val="20"/>
        </w:rPr>
        <w:t xml:space="preserve">Keywords: </w:t>
      </w:r>
      <w:r>
        <w:rPr>
          <w:rFonts w:asciiTheme="minorHAnsi" w:eastAsiaTheme="minorHAnsi" w:hAnsiTheme="minorHAnsi" w:cs="Times New Roman"/>
          <w:sz w:val="20"/>
          <w:szCs w:val="20"/>
        </w:rPr>
        <w:t>stablecoin, event study, cumulative abnormal return (CAR), reserve disclosure, flight-to-safety, USDT, USDC, reserve transparency</w:t>
      </w:r>
    </w:p>
    <w:p w14:paraId="41CE4762" w14:textId="77777777" w:rsidR="00520050" w:rsidRPr="005D3E2B" w:rsidRDefault="00520050" w:rsidP="005D3E2B">
      <w:pPr>
        <w:spacing w:line="360" w:lineRule="auto"/>
        <w:rPr>
          <w:rFonts w:asciiTheme="minorHAnsi" w:eastAsiaTheme="minorHAnsi" w:hAnsiTheme="minorHAnsi"/>
          <w:sz w:val="20"/>
          <w:szCs w:val="20"/>
        </w:rPr>
      </w:pPr>
    </w:p>
    <w:p w14:paraId="21955FD5" w14:textId="77777777" w:rsidR="00520050" w:rsidRPr="005D3E2B" w:rsidRDefault="00520050" w:rsidP="005D3E2B">
      <w:pPr>
        <w:spacing w:line="360" w:lineRule="auto"/>
        <w:rPr>
          <w:rFonts w:asciiTheme="minorHAnsi" w:eastAsiaTheme="minorHAnsi" w:hAnsiTheme="minorHAnsi"/>
          <w:sz w:val="20"/>
          <w:szCs w:val="20"/>
        </w:rPr>
      </w:pPr>
    </w:p>
    <w:p w14:paraId="7A8A3110" w14:textId="77777777" w:rsidR="00520050" w:rsidRPr="005D3E2B" w:rsidRDefault="00190F51" w:rsidP="005D3E2B">
      <w:pPr>
        <w:pStyle w:val="1"/>
        <w:spacing w:line="360" w:lineRule="auto"/>
        <w:rPr>
          <w:rFonts w:asciiTheme="minorHAnsi" w:eastAsiaTheme="minorHAnsi" w:hAnsiTheme="minorHAnsi"/>
          <w:sz w:val="20"/>
          <w:szCs w:val="20"/>
        </w:rPr>
      </w:pPr>
      <w:r>
        <w:rPr>
          <w:rFonts w:asciiTheme="minorHAnsi" w:eastAsiaTheme="minorHAnsi" w:hAnsiTheme="minorHAnsi"/>
          <w:sz w:val="20"/>
          <w:szCs w:val="20"/>
        </w:rPr>
        <w:t>참 고 문 헌</w:t>
      </w:r>
    </w:p>
    <w:p w14:paraId="228925FB" w14:textId="77777777" w:rsidR="00520050" w:rsidRPr="005D3E2B" w:rsidRDefault="00190F51" w:rsidP="005D3E2B">
      <w:pPr>
        <w:spacing w:before="160" w:line="360" w:lineRule="auto"/>
        <w:rPr>
          <w:rFonts w:asciiTheme="minorHAnsi" w:eastAsiaTheme="minorHAnsi" w:hAnsiTheme="minorHAnsi"/>
          <w:sz w:val="20"/>
          <w:szCs w:val="20"/>
        </w:rPr>
      </w:pPr>
      <w:r>
        <w:rPr>
          <w:rFonts w:asciiTheme="minorHAnsi" w:eastAsiaTheme="minorHAnsi" w:hAnsiTheme="minorHAnsi"/>
          <w:b/>
          <w:bCs/>
          <w:sz w:val="20"/>
          <w:szCs w:val="20"/>
        </w:rPr>
        <w:t>【국내문헌】</w:t>
      </w:r>
    </w:p>
    <w:p w14:paraId="0282C8B5"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sz w:val="20"/>
          <w:szCs w:val="20"/>
        </w:rPr>
        <w:t>가상자산이용자보호법 (2023). 법률 제19849호. https://www.law.go.kr/LSW/lsInfoP.do?lsiSeq=254640</w:t>
      </w:r>
    </w:p>
    <w:p w14:paraId="6E5A75E8"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sz w:val="20"/>
          <w:szCs w:val="20"/>
        </w:rPr>
        <w:t>송아현·서의성·김희열 (2025). 딥러닝 모델을 활용한 USDT 스테이블코인 이상 탐지. KIIT논문지, 23(7), 155–166. https://www.kci.go.kr/kciportal/landing/article.kci?arti_id=ART003228352</w:t>
      </w:r>
    </w:p>
    <w:p w14:paraId="1F6A414B"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sz w:val="20"/>
          <w:szCs w:val="20"/>
        </w:rPr>
        <w:t>송민채 (2025). 주요국 스테이블코인 법안 비교를 통한 원화 스테이블코인 관련 쟁점 및 도입 시 국내 금융시장에 미칠 영향 분석. 한국산업정보학회논문지, 30(5), 129–145. https://www.kci.go.kr/kciportal/ci/sereArticleSearch/ciSereArtiView.kci?sereArticleSearchBean.artiId=ART003260534</w:t>
      </w:r>
    </w:p>
    <w:p w14:paraId="4A5795F7"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sz w:val="20"/>
          <w:szCs w:val="20"/>
        </w:rPr>
        <w:t>심인숙 (2021). 스테이블코인의 안정화 메카니즘에 관한 법규제적 관점에서의 고찰. 중앙법학, 23(4), 103–154. https://www.kci.go.kr/kciportal/landing/article.kci?arti_id=ART002796463</w:t>
      </w:r>
    </w:p>
    <w:p w14:paraId="1D20F5A8"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sz w:val="20"/>
          <w:szCs w:val="20"/>
        </w:rPr>
        <w:t>조기정·박종현·안현철 (2023). 김치프리미엄과 환율 변동 예측을 활용한 가상화폐의 통계적 차익거래 연구. 한국산학기술학회논문지, 24(10), 354–363. https://doi.org/10.5762/KAIS.2023.24.10.354</w:t>
      </w:r>
    </w:p>
    <w:p w14:paraId="147CE81B"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sz w:val="20"/>
          <w:szCs w:val="20"/>
        </w:rPr>
        <w:t>한국은행 (2025). 디지털 시대의 화폐, 혁신과 신뢰의 조화: 원화 스테이블코인의 주요 이슈와 대응방안. 한국은행 보고서. https://www.bok.or.kr/portal/bbs/B0000232/view.do?nttId=10094188</w:t>
      </w:r>
    </w:p>
    <w:p w14:paraId="16E0FE85"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sz w:val="20"/>
          <w:szCs w:val="20"/>
        </w:rPr>
        <w:t>허유경·최태은 (2025). 원화 스테이블 코인 규제 방안 — 미국 지니어스법의 시사점을 중심으로. 증</w:t>
      </w:r>
      <w:r>
        <w:rPr>
          <w:rFonts w:asciiTheme="minorHAnsi" w:eastAsiaTheme="minorHAnsi" w:hAnsiTheme="minorHAnsi"/>
          <w:sz w:val="20"/>
          <w:szCs w:val="20"/>
        </w:rPr>
        <w:lastRenderedPageBreak/>
        <w:t>권법연구, 26(2), 133–185. https://www.kci.go.kr/kciportal/ci/sereArticleSearch/ciSereArtiView.kci?sereArticleSearchBean.artiId=ART003241848</w:t>
      </w:r>
    </w:p>
    <w:p w14:paraId="5090FC52" w14:textId="77777777" w:rsidR="00520050" w:rsidRPr="005D3E2B" w:rsidRDefault="00520050" w:rsidP="005D3E2B">
      <w:pPr>
        <w:spacing w:line="360" w:lineRule="auto"/>
        <w:rPr>
          <w:rFonts w:asciiTheme="minorHAnsi" w:eastAsiaTheme="minorHAnsi" w:hAnsiTheme="minorHAnsi"/>
          <w:sz w:val="20"/>
          <w:szCs w:val="20"/>
        </w:rPr>
      </w:pPr>
    </w:p>
    <w:p w14:paraId="652CC4FB" w14:textId="77777777" w:rsidR="00520050" w:rsidRPr="005D3E2B" w:rsidRDefault="00190F51" w:rsidP="005D3E2B">
      <w:pPr>
        <w:spacing w:before="160" w:line="360" w:lineRule="auto"/>
        <w:rPr>
          <w:rFonts w:asciiTheme="minorHAnsi" w:eastAsiaTheme="minorHAnsi" w:hAnsiTheme="minorHAnsi"/>
          <w:sz w:val="20"/>
          <w:szCs w:val="20"/>
        </w:rPr>
      </w:pPr>
      <w:r>
        <w:rPr>
          <w:rFonts w:asciiTheme="minorHAnsi" w:eastAsiaTheme="minorHAnsi" w:hAnsiTheme="minorHAnsi"/>
          <w:b/>
          <w:bCs/>
          <w:sz w:val="20"/>
          <w:szCs w:val="20"/>
        </w:rPr>
        <w:t>【국외문헌】</w:t>
      </w:r>
    </w:p>
    <w:p w14:paraId="018DC04E"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Anadu, K., Azar, P. D., Cipriani, M., Eisenbach, T. M., Huang, C., Landoni, M., La Spada, G., Macchiavelli, M., Malfroy-Camine, A., &amp; Wang, J. C. (2023). Runs and Flights to Safety: Are Stablecoins the New Money Market Funds? Federal Reserve Bank of New York Staff Reports, No. 1073. https://doi.org/10.59576/sr.1073</w:t>
      </w:r>
    </w:p>
    <w:p w14:paraId="36173220"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Akerlof, G. A. (1970). The market for "lemons": Quality uncertainty and the market mechanism. Quarterly Journal of Economics, 84(3), 488–500. https://doi.org/10.2307/1879431</w:t>
      </w:r>
    </w:p>
    <w:p w14:paraId="32EABB89"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Ball, R., &amp; Brown, P. (1968). An empirical evaluation of accounting income numbers. Journal of Accounting Research, 6(2), 159–178. https://doi.org/10.2307/2490232</w:t>
      </w:r>
    </w:p>
    <w:p w14:paraId="722947C4"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Biais, B., Bisière, C., Bouvard, M., &amp; Casamatta, C. (2019). The blockchain folk theorem. Review of Financial Studies, 32(5), 1662–1715. https://doi.org/10.1093/rfs/hhy095</w:t>
      </w:r>
    </w:p>
    <w:p w14:paraId="34B3119B"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Bouri, E., Das, M., Gupta, R., &amp; Roubaud, D. (2018). Spillovers between Bitcoin and other assets during bear and bull markets. Applied Economics, 50(55), 5935–5949. https://doi.org/10.1080/00036846.2018.1488075</w:t>
      </w:r>
    </w:p>
    <w:p w14:paraId="54B73442"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CFTC (2021). CFTC Orders Tether and Bitfinex to Pay Fines Totaling $42.5 Million. Press Release No. 8450-21. https://www.cftc.gov/PressRoom/PressReleases/8450-21</w:t>
      </w:r>
    </w:p>
    <w:p w14:paraId="135CB6B9"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Circle (2021–2024). USDC Transparency Reports. https://www.circle.com/en/transparency</w:t>
      </w:r>
    </w:p>
    <w:p w14:paraId="66DA9C83"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FDIC (2023). FDIC Acts to Protect All Depositors of the Former Silicon Valley Bank. Press Release PR-16-2023. https://www.fdic.gov/news/press-releases/2023/pr23016.html</w:t>
      </w:r>
    </w:p>
    <w:p w14:paraId="6BB34E77"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 xml:space="preserve">Financial Stability Board (2020). Global Stablecoin Arrangements: Revised High-Level </w:t>
      </w:r>
      <w:r>
        <w:rPr>
          <w:rFonts w:asciiTheme="minorHAnsi" w:eastAsiaTheme="minorHAnsi" w:hAnsiTheme="minorHAnsi" w:cs="Times New Roman"/>
          <w:sz w:val="20"/>
          <w:szCs w:val="20"/>
        </w:rPr>
        <w:lastRenderedPageBreak/>
        <w:t>Recommendations. https://www.fsb.org/2020/10/consultative-document-global-stablecoin-arrangements/</w:t>
      </w:r>
    </w:p>
    <w:p w14:paraId="58D61541"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Financial Stability Board (2023). High-Level Recommendations for the Regulation, Supervision and Oversight of Global Stablecoin Arrangements. https://www.fsb.org/2023/07/high-level-recommendations-for-the-regulation-supervision-and-oversight-of-global-stablecoin-arrangements-final-report/</w:t>
      </w:r>
    </w:p>
    <w:p w14:paraId="27FA395A"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Kahneman, D., &amp; Tversky, A. (1979). Prospect theory: An analysis of decision under risk. Econometrica, 47(2), 263–291. https://doi.org/10.2307/1914185</w:t>
      </w:r>
    </w:p>
    <w:p w14:paraId="45770A43"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MacKinlay, A. C. (1997). Event studies in economics and finance. Journal of Economic Literature, 35(1), 13–39. https://www.jstor.org/stable/2729691</w:t>
      </w:r>
    </w:p>
    <w:p w14:paraId="02D17AA5"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Moore, T., &amp; Christin, N. (2013). Beware the middleman: Empirical analysis of Bitcoin-exchange risk. In A.-R. Sadeghi (Ed.), Financial Cryptography and Data Security: FC 2013 (LNCS, Vol. 7859, pp. 25–33). Springer. https://doi.org/10.1007/978-3-642-39884-1_3</w:t>
      </w:r>
    </w:p>
    <w:p w14:paraId="395AB84D"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Spence, M. (1973). Job market signaling. Quarterly Journal of Economics, 87(3), 355–374. https://doi.org/10.2307/1882010</w:t>
      </w:r>
    </w:p>
    <w:p w14:paraId="685D29D4" w14:textId="77777777" w:rsidR="00520050" w:rsidRPr="005D3E2B" w:rsidRDefault="00190F51" w:rsidP="005D3E2B">
      <w:pPr>
        <w:spacing w:after="80" w:line="360" w:lineRule="auto"/>
        <w:jc w:val="both"/>
        <w:rPr>
          <w:rFonts w:asciiTheme="minorHAnsi" w:eastAsiaTheme="minorHAnsi" w:hAnsiTheme="minorHAnsi"/>
          <w:sz w:val="20"/>
          <w:szCs w:val="20"/>
        </w:rPr>
      </w:pPr>
      <w:r>
        <w:rPr>
          <w:rFonts w:asciiTheme="minorHAnsi" w:eastAsiaTheme="minorHAnsi" w:hAnsiTheme="minorHAnsi" w:cs="Times New Roman"/>
          <w:sz w:val="20"/>
          <w:szCs w:val="20"/>
        </w:rPr>
        <w:t>Tether (2021–2024). Tether Transparency Reports. https://tether.to/en/transparency</w:t>
      </w:r>
    </w:p>
    <w:sectPr w:rsidR="00520050" w:rsidRPr="005D3E2B">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57583" w14:textId="77777777" w:rsidR="003516BE" w:rsidRDefault="003516BE" w:rsidP="003A32D0">
      <w:r>
        <w:separator/>
      </w:r>
    </w:p>
  </w:endnote>
  <w:endnote w:type="continuationSeparator" w:id="0">
    <w:p w14:paraId="6276C1D6" w14:textId="77777777" w:rsidR="003516BE" w:rsidRDefault="003516BE" w:rsidP="003A3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7945E" w14:textId="77777777" w:rsidR="003516BE" w:rsidRDefault="003516BE" w:rsidP="003A32D0">
      <w:r>
        <w:separator/>
      </w:r>
    </w:p>
  </w:footnote>
  <w:footnote w:type="continuationSeparator" w:id="0">
    <w:p w14:paraId="45868C9D" w14:textId="77777777" w:rsidR="003516BE" w:rsidRDefault="003516BE" w:rsidP="003A32D0">
      <w:r>
        <w:continuationSeparator/>
      </w:r>
    </w:p>
  </w:footnote>
  <w:footnote w:id="1">
    <w:p w14:paraId="4C779F90" w14:textId="77777777" w:rsidR="00E64921" w:rsidRPr="005D3E2B" w:rsidRDefault="004378FA">
      <w:pPr>
        <w:rPr>
          <w:sz w:val="16"/>
          <w:szCs w:val="16"/>
        </w:rPr>
      </w:pPr>
      <w:r w:rsidRPr="005D3E2B">
        <w:rPr>
          <w:sz w:val="16"/>
          <w:szCs w:val="16"/>
          <w:vertAlign w:val="superscript"/>
        </w:rPr>
        <w:footnoteRef/>
      </w:r>
      <w:r w:rsidRPr="005D3E2B">
        <w:rPr>
          <w:sz w:val="16"/>
          <w:szCs w:val="16"/>
        </w:rPr>
        <w:t xml:space="preserve"> Tether Holdings Limited. (2022, August 18). Tether Announces Alignment With Top Five Accounting Firm And Confirms Attestations Will Now Be Completed By BDO Italia. https://tether.io/news/tether-announces-alignment-with-top-five-accounting-firm-and-confirms-attestations-will-now-be-completed-by-bdo-italia/</w:t>
      </w:r>
    </w:p>
  </w:footnote>
  <w:footnote w:id="2">
    <w:p w14:paraId="24313B45" w14:textId="77777777" w:rsidR="00E64921" w:rsidRPr="005D3E2B" w:rsidRDefault="004378FA">
      <w:pPr>
        <w:rPr>
          <w:sz w:val="16"/>
          <w:szCs w:val="16"/>
        </w:rPr>
      </w:pPr>
      <w:r w:rsidRPr="005D3E2B">
        <w:rPr>
          <w:sz w:val="16"/>
          <w:szCs w:val="16"/>
          <w:vertAlign w:val="superscript"/>
        </w:rPr>
        <w:footnoteRef/>
      </w:r>
      <w:r w:rsidRPr="005D3E2B">
        <w:rPr>
          <w:sz w:val="16"/>
          <w:szCs w:val="16"/>
        </w:rPr>
        <w:t xml:space="preserve"> Circle. (2023). State of the USDC Economy: Circle and Deloitte. https://www.circle.com/transparency (“Deloitte &amp; Touche LLP is Circle’s independent auditor and has audited Circle’s financials since fiscal 2022.”)</w:t>
      </w:r>
    </w:p>
  </w:footnote>
  <w:footnote w:id="3">
    <w:p w14:paraId="0FBB8562" w14:textId="77777777" w:rsidR="00E64921" w:rsidRPr="005D3E2B" w:rsidRDefault="004378FA">
      <w:pPr>
        <w:rPr>
          <w:sz w:val="16"/>
          <w:szCs w:val="16"/>
        </w:rPr>
      </w:pPr>
      <w:r w:rsidRPr="005D3E2B">
        <w:rPr>
          <w:sz w:val="16"/>
          <w:szCs w:val="16"/>
          <w:vertAlign w:val="superscript"/>
        </w:rPr>
        <w:footnoteRef/>
      </w:r>
      <w:r w:rsidRPr="005D3E2B">
        <w:rPr>
          <w:sz w:val="16"/>
          <w:szCs w:val="16"/>
        </w:rPr>
        <w:t xml:space="preserve"> Regulation (EU) 2023/1114 of the European Parliament and of the Council of 31 May 2023 on markets in crypto-assets (MiCA). OJ L 150, 9.6.2023, pp. 40–205. https://eur-lex.europa.eu/eli/reg/2023/1114/oj/eng</w:t>
      </w:r>
    </w:p>
  </w:footnote>
  <w:footnote w:id="4">
    <w:p w14:paraId="27F8C6BC" w14:textId="77777777" w:rsidR="00D85189" w:rsidRPr="003613B2" w:rsidRDefault="004378FA">
      <w:pPr>
        <w:rPr>
          <w:sz w:val="16"/>
          <w:szCs w:val="16"/>
        </w:rPr>
      </w:pPr>
      <w:r w:rsidRPr="003613B2">
        <w:rPr>
          <w:sz w:val="16"/>
          <w:szCs w:val="16"/>
          <w:vertAlign w:val="superscript"/>
        </w:rPr>
        <w:footnoteRef/>
      </w:r>
      <w:r w:rsidRPr="003613B2">
        <w:rPr>
          <w:sz w:val="16"/>
          <w:szCs w:val="16"/>
        </w:rPr>
        <w:t xml:space="preserve"> FTX Trading Ltd., Chapter 11 Petition, U.S. Bankruptcy Court for the District of Delaware, Case No. 22-11068 (filed Nov. 11, 2022). Official case documents available via Kroll Restructuring Administration (claims agent): https://restructuring.ra.kroll.com/ftx/</w:t>
      </w:r>
    </w:p>
  </w:footnote>
  <w:footnote w:id="5">
    <w:p w14:paraId="0DECF4BD" w14:textId="77777777" w:rsidR="00D85189" w:rsidRPr="003613B2" w:rsidRDefault="004378FA">
      <w:pPr>
        <w:rPr>
          <w:sz w:val="16"/>
          <w:szCs w:val="16"/>
        </w:rPr>
      </w:pPr>
      <w:r w:rsidRPr="003613B2">
        <w:rPr>
          <w:sz w:val="16"/>
          <w:szCs w:val="16"/>
          <w:vertAlign w:val="superscript"/>
        </w:rPr>
        <w:footnoteRef/>
      </w:r>
      <w:r w:rsidRPr="003613B2">
        <w:rPr>
          <w:sz w:val="16"/>
          <w:szCs w:val="16"/>
        </w:rPr>
        <w:t xml:space="preserve"> Bloomberg Businessweek. (2021, October 7). Crypto Mystery: Where’s the $69 Billion Backing the Stablecoin Tether? https://www.bloomberg.com/news/features/2021-10-07/crypto-mystery-where-s-the-69-billion-backing-the-stablecoin-tether. 동 보도는 2021-09-30 Q3 증명보고서와 이벤트창이 14일 중첩되어 분석에서 제외하였다.</w:t>
      </w:r>
    </w:p>
  </w:footnote>
  <w:footnote w:id="6">
    <w:p w14:paraId="5675B35A" w14:textId="77777777" w:rsidR="00D85189" w:rsidRPr="003613B2" w:rsidRDefault="004378FA">
      <w:pPr>
        <w:rPr>
          <w:sz w:val="16"/>
          <w:szCs w:val="16"/>
        </w:rPr>
      </w:pPr>
      <w:r w:rsidRPr="003613B2">
        <w:rPr>
          <w:sz w:val="16"/>
          <w:szCs w:val="16"/>
          <w:vertAlign w:val="superscript"/>
        </w:rPr>
        <w:footnoteRef/>
      </w:r>
      <w:r w:rsidRPr="003613B2">
        <w:rPr>
          <w:sz w:val="16"/>
          <w:szCs w:val="16"/>
        </w:rPr>
        <w:t xml:space="preserve"> Circle. (2023, March 13). USDC peg restoration announcement [@circle on Twitter/X]. USDC 패그 회복 이벤트(2023-03-13)는 SVB 파산 이벤트(2023-03-10)와 이벤트창이 18일 중첩되어 분석에서 제외하였다. SVB 사태 관련 공식 발표: FDIC. (2023). FDIC Acts to Protect All Depositors of the Former Silicon Valley Bank. Press Release PR-16-2023. https://www.fdic.gov/news/press-releases/2023/pr23016.html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36F2E"/>
    <w:multiLevelType w:val="hybridMultilevel"/>
    <w:tmpl w:val="D6D40FA6"/>
    <w:lvl w:ilvl="0" w:tplc="CF103264">
      <w:start w:val="1"/>
      <w:numFmt w:val="bullet"/>
      <w:lvlText w:val="●"/>
      <w:lvlJc w:val="left"/>
      <w:pPr>
        <w:ind w:left="720" w:hanging="360"/>
      </w:pPr>
    </w:lvl>
    <w:lvl w:ilvl="1" w:tplc="A18867BE">
      <w:start w:val="1"/>
      <w:numFmt w:val="bullet"/>
      <w:lvlText w:val="○"/>
      <w:lvlJc w:val="left"/>
      <w:pPr>
        <w:ind w:left="1440" w:hanging="360"/>
      </w:pPr>
    </w:lvl>
    <w:lvl w:ilvl="2" w:tplc="453A32CA">
      <w:start w:val="1"/>
      <w:numFmt w:val="bullet"/>
      <w:lvlText w:val="■"/>
      <w:lvlJc w:val="left"/>
      <w:pPr>
        <w:ind w:left="2160" w:hanging="360"/>
      </w:pPr>
    </w:lvl>
    <w:lvl w:ilvl="3" w:tplc="F0824D48">
      <w:start w:val="1"/>
      <w:numFmt w:val="bullet"/>
      <w:lvlText w:val="●"/>
      <w:lvlJc w:val="left"/>
      <w:pPr>
        <w:ind w:left="2880" w:hanging="360"/>
      </w:pPr>
    </w:lvl>
    <w:lvl w:ilvl="4" w:tplc="556A4EE0">
      <w:start w:val="1"/>
      <w:numFmt w:val="bullet"/>
      <w:lvlText w:val="○"/>
      <w:lvlJc w:val="left"/>
      <w:pPr>
        <w:ind w:left="3600" w:hanging="360"/>
      </w:pPr>
    </w:lvl>
    <w:lvl w:ilvl="5" w:tplc="38A20410">
      <w:start w:val="1"/>
      <w:numFmt w:val="bullet"/>
      <w:lvlText w:val="■"/>
      <w:lvlJc w:val="left"/>
      <w:pPr>
        <w:ind w:left="4320" w:hanging="360"/>
      </w:pPr>
    </w:lvl>
    <w:lvl w:ilvl="6" w:tplc="229622D6">
      <w:start w:val="1"/>
      <w:numFmt w:val="bullet"/>
      <w:lvlText w:val="●"/>
      <w:lvlJc w:val="left"/>
      <w:pPr>
        <w:ind w:left="5040" w:hanging="360"/>
      </w:pPr>
    </w:lvl>
    <w:lvl w:ilvl="7" w:tplc="E9DACEBE">
      <w:start w:val="1"/>
      <w:numFmt w:val="bullet"/>
      <w:lvlText w:val="●"/>
      <w:lvlJc w:val="left"/>
      <w:pPr>
        <w:ind w:left="5760" w:hanging="360"/>
      </w:pPr>
    </w:lvl>
    <w:lvl w:ilvl="8" w:tplc="C70A71F2">
      <w:start w:val="1"/>
      <w:numFmt w:val="bullet"/>
      <w:lvlText w:val="●"/>
      <w:lvlJc w:val="left"/>
      <w:pPr>
        <w:ind w:left="6480" w:hanging="360"/>
      </w:pPr>
    </w:lvl>
  </w:abstractNum>
  <w:num w:numId="1" w16cid:durableId="278223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050"/>
    <w:rsid w:val="00002B87"/>
    <w:rsid w:val="001011F2"/>
    <w:rsid w:val="00190F51"/>
    <w:rsid w:val="00192AB6"/>
    <w:rsid w:val="002E4F98"/>
    <w:rsid w:val="00302543"/>
    <w:rsid w:val="003516BE"/>
    <w:rsid w:val="00351C83"/>
    <w:rsid w:val="003613B2"/>
    <w:rsid w:val="003A32D0"/>
    <w:rsid w:val="003C681E"/>
    <w:rsid w:val="003F1EC9"/>
    <w:rsid w:val="003F6394"/>
    <w:rsid w:val="004378FA"/>
    <w:rsid w:val="00520050"/>
    <w:rsid w:val="0057292B"/>
    <w:rsid w:val="005D3E2B"/>
    <w:rsid w:val="006840EC"/>
    <w:rsid w:val="006A06D2"/>
    <w:rsid w:val="006F4A7D"/>
    <w:rsid w:val="007611CB"/>
    <w:rsid w:val="007D1789"/>
    <w:rsid w:val="00852435"/>
    <w:rsid w:val="008529AE"/>
    <w:rsid w:val="00883362"/>
    <w:rsid w:val="00887364"/>
    <w:rsid w:val="008F273A"/>
    <w:rsid w:val="009E1DDA"/>
    <w:rsid w:val="00A20CEA"/>
    <w:rsid w:val="00BC7A75"/>
    <w:rsid w:val="00BE2C2C"/>
    <w:rsid w:val="00BF12B5"/>
    <w:rsid w:val="00C07E71"/>
    <w:rsid w:val="00C735F3"/>
    <w:rsid w:val="00CA303D"/>
    <w:rsid w:val="00D122ED"/>
    <w:rsid w:val="00D254D6"/>
    <w:rsid w:val="00D41B31"/>
    <w:rsid w:val="00D85189"/>
    <w:rsid w:val="00D85248"/>
    <w:rsid w:val="00DE2D85"/>
    <w:rsid w:val="00E22558"/>
    <w:rsid w:val="00E64921"/>
    <w:rsid w:val="00E91288"/>
    <w:rsid w:val="00EC514E"/>
    <w:rsid w:val="00F109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86F39"/>
  <w15:docId w15:val="{B70707D7-F4FC-4DAF-8E65-7DB43010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40"/>
      <w:outlineLvl w:val="0"/>
    </w:pPr>
    <w:rPr>
      <w:b/>
      <w:bCs/>
      <w:sz w:val="30"/>
      <w:szCs w:val="30"/>
    </w:rPr>
  </w:style>
  <w:style w:type="paragraph" w:styleId="2">
    <w:name w:val="heading 2"/>
    <w:uiPriority w:val="9"/>
    <w:unhideWhenUsed/>
    <w:qFormat/>
    <w:pPr>
      <w:spacing w:before="360" w:after="160"/>
      <w:outlineLvl w:val="1"/>
    </w:pPr>
    <w:rPr>
      <w:b/>
      <w:bCs/>
      <w:sz w:val="28"/>
      <w:szCs w:val="28"/>
    </w:rPr>
  </w:style>
  <w:style w:type="paragraph" w:styleId="3">
    <w:name w:val="heading 3"/>
    <w:uiPriority w:val="9"/>
    <w:unhideWhenUsed/>
    <w:qFormat/>
    <w:pPr>
      <w:spacing w:before="240" w:after="120"/>
      <w:outlineLvl w:val="2"/>
    </w:pPr>
    <w:rPr>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3A32D0"/>
    <w:pPr>
      <w:tabs>
        <w:tab w:val="center" w:pos="4513"/>
        <w:tab w:val="right" w:pos="9026"/>
      </w:tabs>
      <w:snapToGrid w:val="0"/>
    </w:pPr>
  </w:style>
  <w:style w:type="character" w:customStyle="1" w:styleId="Char1">
    <w:name w:val="머리글 Char"/>
    <w:basedOn w:val="a0"/>
    <w:link w:val="aa"/>
    <w:uiPriority w:val="99"/>
    <w:rsid w:val="003A32D0"/>
  </w:style>
  <w:style w:type="paragraph" w:styleId="ab">
    <w:name w:val="footer"/>
    <w:basedOn w:val="a"/>
    <w:link w:val="Char2"/>
    <w:uiPriority w:val="99"/>
    <w:unhideWhenUsed/>
    <w:rsid w:val="003A32D0"/>
    <w:pPr>
      <w:tabs>
        <w:tab w:val="center" w:pos="4513"/>
        <w:tab w:val="right" w:pos="9026"/>
      </w:tabs>
      <w:snapToGrid w:val="0"/>
    </w:pPr>
  </w:style>
  <w:style w:type="character" w:customStyle="1" w:styleId="Char2">
    <w:name w:val="바닥글 Char"/>
    <w:basedOn w:val="a0"/>
    <w:link w:val="ab"/>
    <w:uiPriority w:val="99"/>
    <w:rsid w:val="003A32D0"/>
  </w:style>
  <w:style w:type="character" w:styleId="ac">
    <w:name w:val="Unresolved Mention"/>
    <w:basedOn w:val="a0"/>
    <w:uiPriority w:val="99"/>
    <w:semiHidden/>
    <w:unhideWhenUsed/>
    <w:rsid w:val="00BC7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27</Pages>
  <Words>4013</Words>
  <Characters>22876</Characters>
  <Application>Microsoft Office Word</Application>
  <DocSecurity>0</DocSecurity>
  <Lines>190</Lines>
  <Paragraphs>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 Taewoong</cp:lastModifiedBy>
  <cp:revision>17</cp:revision>
  <dcterms:created xsi:type="dcterms:W3CDTF">2026-06-08T13:47:00Z</dcterms:created>
  <dcterms:modified xsi:type="dcterms:W3CDTF">2026-06-16T12:11:00Z</dcterms:modified>
</cp:coreProperties>
</file>