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CA2" w:rsidRDefault="00270CA2" w:rsidP="00033BCD">
      <w:pPr>
        <w:spacing w:after="0"/>
        <w:jc w:val="center"/>
      </w:pPr>
      <w:r>
        <w:t>2009J3643</w:t>
      </w:r>
    </w:p>
    <w:p w:rsidR="00033BCD" w:rsidRDefault="00033BCD" w:rsidP="00033BCD">
      <w:pPr>
        <w:spacing w:after="0"/>
        <w:jc w:val="center"/>
      </w:pPr>
      <w:r>
        <w:t>Phase 1</w:t>
      </w:r>
    </w:p>
    <w:p w:rsidR="008029CC" w:rsidRDefault="008029CC" w:rsidP="0023648D">
      <w:pPr>
        <w:spacing w:after="0"/>
      </w:pPr>
      <w:r>
        <w:t>Sample population:</w:t>
      </w:r>
    </w:p>
    <w:p w:rsidR="008029CC" w:rsidRDefault="008029CC" w:rsidP="0023648D">
      <w:pPr>
        <w:spacing w:after="0"/>
      </w:pPr>
      <w:r>
        <w:tab/>
        <w:t>20 participants</w:t>
      </w:r>
    </w:p>
    <w:p w:rsidR="008029CC" w:rsidRDefault="008029CC" w:rsidP="0023648D">
      <w:pPr>
        <w:spacing w:after="0"/>
      </w:pPr>
      <w:r>
        <w:tab/>
        <w:t>Voluntary participation, recruited from Texas State Uni</w:t>
      </w:r>
      <w:r w:rsidR="00FA0D08">
        <w:t>versity</w:t>
      </w:r>
    </w:p>
    <w:p w:rsidR="008029CC" w:rsidRDefault="008029CC" w:rsidP="0023648D">
      <w:pPr>
        <w:spacing w:after="0"/>
      </w:pPr>
    </w:p>
    <w:p w:rsidR="0091706C" w:rsidRDefault="0023648D" w:rsidP="0023648D">
      <w:pPr>
        <w:spacing w:after="0"/>
      </w:pPr>
      <w:r>
        <w:t>Inclusion criteria:</w:t>
      </w:r>
    </w:p>
    <w:p w:rsidR="0023648D" w:rsidRDefault="0023648D" w:rsidP="0023648D">
      <w:pPr>
        <w:spacing w:after="0" w:line="240" w:lineRule="auto"/>
      </w:pPr>
      <w:r>
        <w:tab/>
        <w:t>18 years old +</w:t>
      </w:r>
    </w:p>
    <w:p w:rsidR="00FA0D08" w:rsidRDefault="00FA0D08" w:rsidP="0023648D">
      <w:pPr>
        <w:spacing w:after="0" w:line="240" w:lineRule="auto"/>
      </w:pPr>
      <w:r>
        <w:tab/>
        <w:t>2 knees</w:t>
      </w:r>
    </w:p>
    <w:p w:rsidR="0023648D" w:rsidRDefault="0023648D" w:rsidP="0023648D">
      <w:pPr>
        <w:spacing w:after="0" w:line="240" w:lineRule="auto"/>
      </w:pPr>
      <w:r>
        <w:tab/>
        <w:t>Cognitive ability to comprehend</w:t>
      </w:r>
      <w:r w:rsidR="008029CC">
        <w:t xml:space="preserve"> (Mini-Mental </w:t>
      </w:r>
      <w:r w:rsidR="00FA0D08">
        <w:t>State Exam</w:t>
      </w:r>
      <w:r w:rsidR="008029CC">
        <w:t xml:space="preserve"> score of 25 and above)</w:t>
      </w:r>
    </w:p>
    <w:p w:rsidR="0023648D" w:rsidRDefault="0023648D" w:rsidP="0023648D">
      <w:pPr>
        <w:spacing w:before="240" w:after="0"/>
      </w:pPr>
      <w:r>
        <w:t>Exclusion criteria:</w:t>
      </w:r>
    </w:p>
    <w:p w:rsidR="0023648D" w:rsidRDefault="0023648D" w:rsidP="0023648D">
      <w:pPr>
        <w:spacing w:after="0"/>
      </w:pPr>
      <w:r>
        <w:tab/>
        <w:t>Open wound at knee</w:t>
      </w:r>
    </w:p>
    <w:p w:rsidR="0023648D" w:rsidRDefault="0023648D" w:rsidP="0023648D">
      <w:pPr>
        <w:spacing w:after="0"/>
      </w:pPr>
      <w:r>
        <w:tab/>
        <w:t>Knee joint fusion</w:t>
      </w:r>
    </w:p>
    <w:p w:rsidR="0023648D" w:rsidRDefault="0023648D" w:rsidP="0023648D">
      <w:pPr>
        <w:spacing w:before="240" w:after="0"/>
      </w:pPr>
      <w:r>
        <w:t>Info from subjects:</w:t>
      </w:r>
    </w:p>
    <w:p w:rsidR="0023648D" w:rsidRDefault="0023648D" w:rsidP="0023648D">
      <w:pPr>
        <w:spacing w:after="0"/>
      </w:pPr>
      <w:r>
        <w:tab/>
        <w:t>Age</w:t>
      </w:r>
    </w:p>
    <w:p w:rsidR="0023648D" w:rsidRDefault="0023648D" w:rsidP="0023648D">
      <w:pPr>
        <w:spacing w:after="0"/>
      </w:pPr>
      <w:r>
        <w:tab/>
        <w:t>Gender</w:t>
      </w:r>
    </w:p>
    <w:p w:rsidR="0023648D" w:rsidRDefault="0023648D" w:rsidP="0023648D">
      <w:pPr>
        <w:spacing w:after="0"/>
      </w:pPr>
      <w:r>
        <w:tab/>
        <w:t>Pain</w:t>
      </w:r>
      <w:r w:rsidR="008029CC">
        <w:t xml:space="preserve"> (Visual Analog Scale 0-10)</w:t>
      </w:r>
    </w:p>
    <w:p w:rsidR="0023648D" w:rsidRDefault="0023648D" w:rsidP="0023648D">
      <w:pPr>
        <w:spacing w:after="0"/>
      </w:pPr>
      <w:r>
        <w:tab/>
        <w:t>History of surgery to knee</w:t>
      </w:r>
    </w:p>
    <w:p w:rsidR="0023648D" w:rsidRDefault="0023648D" w:rsidP="0023648D">
      <w:pPr>
        <w:spacing w:after="0"/>
      </w:pPr>
      <w:r>
        <w:tab/>
        <w:t>History of injury to knee</w:t>
      </w:r>
    </w:p>
    <w:p w:rsidR="0023648D" w:rsidRDefault="0023648D" w:rsidP="0023648D">
      <w:pPr>
        <w:spacing w:after="0"/>
      </w:pPr>
    </w:p>
    <w:p w:rsidR="009D002B" w:rsidRDefault="009D002B" w:rsidP="0023648D">
      <w:pPr>
        <w:spacing w:after="0"/>
      </w:pPr>
      <w:r>
        <w:t>Device:</w:t>
      </w:r>
    </w:p>
    <w:p w:rsidR="009D002B" w:rsidRDefault="009D002B" w:rsidP="0023648D">
      <w:pPr>
        <w:spacing w:after="0"/>
      </w:pPr>
      <w:r>
        <w:tab/>
        <w:t>Standard 12” Baseline</w:t>
      </w:r>
      <w:r w:rsidRPr="009D002B">
        <w:rPr>
          <w:vertAlign w:val="superscript"/>
        </w:rPr>
        <w:t>TM</w:t>
      </w:r>
      <w:r>
        <w:t xml:space="preserve"> Goniometer</w:t>
      </w:r>
    </w:p>
    <w:p w:rsidR="009D002B" w:rsidRDefault="009D002B" w:rsidP="0023648D">
      <w:pPr>
        <w:spacing w:after="0"/>
      </w:pPr>
    </w:p>
    <w:p w:rsidR="00B4101F" w:rsidRDefault="00B4101F" w:rsidP="0023648D">
      <w:pPr>
        <w:spacing w:after="0"/>
      </w:pPr>
      <w:r>
        <w:t>Protocol:</w:t>
      </w:r>
    </w:p>
    <w:p w:rsidR="00B4101F" w:rsidRDefault="00B4101F" w:rsidP="0023648D">
      <w:pPr>
        <w:spacing w:after="0"/>
      </w:pPr>
      <w:r>
        <w:tab/>
        <w:t>Norkin, C.C. White, D. J. Measurement of Joint Motion: A Guide to Goniometry. 2003.</w:t>
      </w:r>
    </w:p>
    <w:p w:rsidR="008251AF" w:rsidRDefault="00B4101F" w:rsidP="0023648D">
      <w:pPr>
        <w:spacing w:after="0"/>
      </w:pPr>
      <w:r>
        <w:tab/>
      </w:r>
    </w:p>
    <w:p w:rsidR="009D002B" w:rsidRDefault="009D002B" w:rsidP="009D002B">
      <w:pPr>
        <w:spacing w:after="0"/>
        <w:ind w:left="720"/>
        <w:rPr>
          <w:b/>
        </w:rPr>
      </w:pPr>
      <w:r w:rsidRPr="00AD75FE">
        <w:rPr>
          <w:b/>
        </w:rPr>
        <w:t>Extension:</w:t>
      </w:r>
    </w:p>
    <w:p w:rsidR="009D002B" w:rsidRDefault="009D002B" w:rsidP="009D002B">
      <w:pPr>
        <w:spacing w:after="0"/>
        <w:ind w:left="720"/>
      </w:pPr>
      <w:r w:rsidRPr="00AD75FE">
        <w:rPr>
          <w:u w:val="single"/>
        </w:rPr>
        <w:t>Starting position:</w:t>
      </w:r>
      <w:r w:rsidRPr="00EE1408">
        <w:t xml:space="preserve"> </w:t>
      </w:r>
      <w:r>
        <w:t>Subject is placed supine on plinth with both knees exposed. Knee starts in extension. Hip is placed at 0 degrees of extension, abduction, and adduction. Towel roll</w:t>
      </w:r>
      <w:r w:rsidR="008029CC">
        <w:t xml:space="preserve"> is placed under ankle to ensure </w:t>
      </w:r>
      <w:r>
        <w:t xml:space="preserve">full </w:t>
      </w:r>
      <w:r w:rsidR="008029CC">
        <w:t xml:space="preserve">knee </w:t>
      </w:r>
      <w:r>
        <w:t>flexion. The femur is stabilized to prevent accessory motion of the hip (rotation, abduction, adduction).</w:t>
      </w:r>
    </w:p>
    <w:p w:rsidR="009D002B" w:rsidRDefault="009D002B" w:rsidP="009D002B">
      <w:pPr>
        <w:spacing w:after="0"/>
        <w:ind w:left="720"/>
      </w:pPr>
      <w:r>
        <w:rPr>
          <w:u w:val="single"/>
        </w:rPr>
        <w:t>Testing Motion:</w:t>
      </w:r>
      <w:r>
        <w:t xml:space="preserve"> There is no motion needed to test </w:t>
      </w:r>
      <w:r w:rsidR="008029CC">
        <w:t xml:space="preserve">knee </w:t>
      </w:r>
      <w:r>
        <w:t>extension.</w:t>
      </w:r>
    </w:p>
    <w:p w:rsidR="009D002B" w:rsidRDefault="009D002B" w:rsidP="009D002B">
      <w:pPr>
        <w:spacing w:after="0"/>
        <w:ind w:left="720"/>
      </w:pPr>
      <w:r>
        <w:rPr>
          <w:u w:val="single"/>
        </w:rPr>
        <w:t>Goniometer Alignment:</w:t>
      </w:r>
      <w:r>
        <w:t xml:space="preserve"> </w:t>
      </w:r>
    </w:p>
    <w:p w:rsidR="009D002B" w:rsidRDefault="009D002B" w:rsidP="009D002B">
      <w:pPr>
        <w:spacing w:after="0"/>
        <w:ind w:left="720"/>
      </w:pPr>
      <w:r>
        <w:t>Center of fulcrum is placed at lateral epicondyle of femur</w:t>
      </w:r>
    </w:p>
    <w:p w:rsidR="009D002B" w:rsidRDefault="009D002B" w:rsidP="009D002B">
      <w:pPr>
        <w:spacing w:after="0"/>
        <w:ind w:left="720"/>
      </w:pPr>
      <w:r>
        <w:t>Proximal arm (stationary arm) is placed along midline of femur, using the greater trochanter as a reference.</w:t>
      </w:r>
    </w:p>
    <w:p w:rsidR="009D002B" w:rsidRPr="00EE1408" w:rsidRDefault="009D002B" w:rsidP="009D002B">
      <w:pPr>
        <w:spacing w:after="0"/>
        <w:ind w:left="720"/>
      </w:pPr>
      <w:r>
        <w:t>Distal arm (moving arm) is placed along midline of fibular, using the lateral malleolus as reference.</w:t>
      </w:r>
    </w:p>
    <w:p w:rsidR="009D002B" w:rsidRDefault="009D002B" w:rsidP="008251AF">
      <w:pPr>
        <w:spacing w:after="0"/>
        <w:ind w:firstLine="720"/>
        <w:rPr>
          <w:b/>
        </w:rPr>
      </w:pPr>
    </w:p>
    <w:p w:rsidR="00B4101F" w:rsidRPr="00356D3B" w:rsidRDefault="00B4101F" w:rsidP="008251AF">
      <w:pPr>
        <w:spacing w:after="0"/>
        <w:ind w:firstLine="720"/>
        <w:rPr>
          <w:b/>
        </w:rPr>
      </w:pPr>
      <w:r w:rsidRPr="00356D3B">
        <w:rPr>
          <w:b/>
        </w:rPr>
        <w:t>Flexion:</w:t>
      </w:r>
    </w:p>
    <w:p w:rsidR="007C0635" w:rsidRDefault="007C0635" w:rsidP="0023648D">
      <w:pPr>
        <w:spacing w:after="0"/>
      </w:pPr>
      <w:r>
        <w:lastRenderedPageBreak/>
        <w:tab/>
      </w:r>
      <w:r w:rsidRPr="00356D3B">
        <w:rPr>
          <w:u w:val="single"/>
        </w:rPr>
        <w:t>Starting position:</w:t>
      </w:r>
      <w:r>
        <w:t xml:space="preserve"> </w:t>
      </w:r>
      <w:r w:rsidR="00B4101F">
        <w:t>Sub</w:t>
      </w:r>
      <w:r>
        <w:t>ject is placed supine on plinth with both knees exposed. Knee starts in</w:t>
      </w:r>
    </w:p>
    <w:p w:rsidR="007C0635" w:rsidRDefault="00B4101F" w:rsidP="007C0635">
      <w:pPr>
        <w:spacing w:after="0"/>
        <w:ind w:firstLine="720"/>
      </w:pPr>
      <w:r>
        <w:t>extension</w:t>
      </w:r>
      <w:r w:rsidR="007C0635">
        <w:t>. Hip is placed at 0 degrees of extension, abduction, and adduction. Towel roll is placed</w:t>
      </w:r>
    </w:p>
    <w:p w:rsidR="00B4101F" w:rsidRDefault="007C0635" w:rsidP="00EE1408">
      <w:pPr>
        <w:spacing w:after="0"/>
        <w:ind w:left="720"/>
      </w:pPr>
      <w:r>
        <w:t xml:space="preserve">under ankle to allow full extension. </w:t>
      </w:r>
      <w:r w:rsidR="00EE1408">
        <w:t>T</w:t>
      </w:r>
      <w:r w:rsidR="00167BB5">
        <w:t xml:space="preserve">he femur </w:t>
      </w:r>
      <w:r w:rsidR="00EE1408">
        <w:t xml:space="preserve">is stabilized </w:t>
      </w:r>
      <w:r w:rsidR="00167BB5">
        <w:t>to prevent accessory motion of the hip</w:t>
      </w:r>
      <w:r w:rsidR="00EE1408">
        <w:t xml:space="preserve"> </w:t>
      </w:r>
      <w:r w:rsidR="00167BB5">
        <w:t>(rotation, abduction, adduction).</w:t>
      </w:r>
    </w:p>
    <w:p w:rsidR="005E7A91" w:rsidRDefault="00167BB5" w:rsidP="005E7A91">
      <w:pPr>
        <w:spacing w:after="0"/>
        <w:ind w:firstLine="720"/>
      </w:pPr>
      <w:r w:rsidRPr="008251AF">
        <w:rPr>
          <w:u w:val="single"/>
        </w:rPr>
        <w:t>Testing</w:t>
      </w:r>
      <w:r w:rsidR="005E7A91" w:rsidRPr="008251AF">
        <w:rPr>
          <w:u w:val="single"/>
        </w:rPr>
        <w:t xml:space="preserve"> Motion</w:t>
      </w:r>
      <w:r w:rsidRPr="008251AF">
        <w:rPr>
          <w:u w:val="single"/>
        </w:rPr>
        <w:t>:</w:t>
      </w:r>
      <w:r>
        <w:t xml:space="preserve"> One hand holds the subject’s ankle and the other hand moves</w:t>
      </w:r>
      <w:r w:rsidR="005E7A91">
        <w:t xml:space="preserve"> the posterior</w:t>
      </w:r>
    </w:p>
    <w:p w:rsidR="005E7A91" w:rsidRDefault="00167BB5" w:rsidP="005E7A91">
      <w:pPr>
        <w:spacing w:after="0"/>
        <w:ind w:firstLine="720"/>
      </w:pPr>
      <w:r>
        <w:t>thigh.</w:t>
      </w:r>
      <w:r w:rsidR="005E7A91">
        <w:t xml:space="preserve"> The </w:t>
      </w:r>
      <w:r>
        <w:t xml:space="preserve">hip is passively brought into approximately 90 degrees of flexion </w:t>
      </w:r>
      <w:r w:rsidR="005E7A91">
        <w:t>then stabilized, and</w:t>
      </w:r>
    </w:p>
    <w:p w:rsidR="005E7A91" w:rsidRDefault="00167BB5" w:rsidP="005E7A91">
      <w:pPr>
        <w:spacing w:after="0"/>
        <w:ind w:firstLine="720"/>
      </w:pPr>
      <w:r>
        <w:t>the knee is</w:t>
      </w:r>
      <w:r w:rsidR="005E7A91">
        <w:t xml:space="preserve"> passively brought into flexion until end range is felt. End range of knee flexion is</w:t>
      </w:r>
    </w:p>
    <w:p w:rsidR="005E7A91" w:rsidRDefault="005E7A91" w:rsidP="005E7A91">
      <w:pPr>
        <w:spacing w:after="0"/>
        <w:ind w:firstLine="720"/>
      </w:pPr>
      <w:r>
        <w:t>when resistance is felt and just before hip motion is increased to compensate. This movement is</w:t>
      </w:r>
    </w:p>
    <w:p w:rsidR="00AD75FE" w:rsidRDefault="005E7A91" w:rsidP="005E7A91">
      <w:pPr>
        <w:spacing w:after="0"/>
        <w:ind w:firstLine="720"/>
      </w:pPr>
      <w:r>
        <w:t>done once to assess motion and then repeated with goniometric measurement.</w:t>
      </w:r>
      <w:r w:rsidR="00AD75FE">
        <w:t xml:space="preserve"> Goniometric</w:t>
      </w:r>
    </w:p>
    <w:p w:rsidR="00167BB5" w:rsidRDefault="00AD75FE" w:rsidP="005E7A91">
      <w:pPr>
        <w:spacing w:after="0"/>
        <w:ind w:firstLine="720"/>
      </w:pPr>
      <w:r>
        <w:t>measurement will be read at eye-level.</w:t>
      </w:r>
    </w:p>
    <w:p w:rsidR="005E7A91" w:rsidRPr="008251AF" w:rsidRDefault="005E7A91" w:rsidP="005E7A91">
      <w:pPr>
        <w:spacing w:after="0"/>
        <w:ind w:left="720"/>
        <w:rPr>
          <w:u w:val="single"/>
        </w:rPr>
      </w:pPr>
      <w:r w:rsidRPr="008251AF">
        <w:rPr>
          <w:u w:val="single"/>
        </w:rPr>
        <w:t xml:space="preserve">Goniometer Alignment: </w:t>
      </w:r>
    </w:p>
    <w:p w:rsidR="009505DE" w:rsidRDefault="009505DE" w:rsidP="005E7A91">
      <w:pPr>
        <w:spacing w:after="0"/>
        <w:ind w:left="720"/>
      </w:pPr>
      <w:r>
        <w:t>Center of fulcrum is placed at lateral epicondyle of femur</w:t>
      </w:r>
    </w:p>
    <w:p w:rsidR="009505DE" w:rsidRDefault="009505DE" w:rsidP="005E7A91">
      <w:pPr>
        <w:spacing w:after="0"/>
        <w:ind w:left="720"/>
      </w:pPr>
      <w:r>
        <w:t>Proximal arm, or stationary arm, is placed along midline of femur, using the greater trochanter as a reference.</w:t>
      </w:r>
    </w:p>
    <w:p w:rsidR="009505DE" w:rsidRDefault="009505DE" w:rsidP="005E7A91">
      <w:pPr>
        <w:spacing w:after="0"/>
        <w:ind w:left="720"/>
      </w:pPr>
      <w:r>
        <w:t>Distal arm, or moving arm, is placed along the midline of the fibula, using the lateral malleolus as a reference.</w:t>
      </w:r>
    </w:p>
    <w:p w:rsidR="00AD75FE" w:rsidRDefault="00AD75FE" w:rsidP="005E7A91">
      <w:pPr>
        <w:spacing w:after="0"/>
        <w:ind w:left="720"/>
      </w:pPr>
    </w:p>
    <w:p w:rsidR="0023648D" w:rsidRDefault="009D002B" w:rsidP="0023648D">
      <w:pPr>
        <w:spacing w:after="0"/>
      </w:pPr>
      <w:r>
        <w:tab/>
      </w:r>
    </w:p>
    <w:p w:rsidR="009D002B" w:rsidRDefault="009D002B" w:rsidP="0023648D">
      <w:pPr>
        <w:spacing w:after="0"/>
      </w:pPr>
      <w:r>
        <w:t>Procedure:</w:t>
      </w:r>
    </w:p>
    <w:p w:rsidR="005D210D" w:rsidRDefault="009D002B" w:rsidP="009D002B">
      <w:pPr>
        <w:spacing w:after="0"/>
      </w:pPr>
      <w:r>
        <w:tab/>
        <w:t xml:space="preserve">Examiner 1 will measure both knees in extension then flexion, moving the knee </w:t>
      </w:r>
      <w:r w:rsidR="005D210D">
        <w:t>passively, with</w:t>
      </w:r>
    </w:p>
    <w:p w:rsidR="005D210D" w:rsidRDefault="005D210D" w:rsidP="009D002B">
      <w:pPr>
        <w:spacing w:after="0"/>
      </w:pPr>
      <w:r>
        <w:tab/>
      </w:r>
      <w:r w:rsidR="009D002B">
        <w:t>the standard goniometer. Examiner 2 will then measure the same participant’</w:t>
      </w:r>
      <w:r>
        <w:t>s knees in the</w:t>
      </w:r>
    </w:p>
    <w:p w:rsidR="008029CC" w:rsidRDefault="005D210D" w:rsidP="009D002B">
      <w:pPr>
        <w:spacing w:after="0"/>
      </w:pPr>
      <w:r>
        <w:tab/>
      </w:r>
      <w:r w:rsidR="009D002B">
        <w:t xml:space="preserve">same procedure.  The measurements will be </w:t>
      </w:r>
      <w:r w:rsidR="008029CC">
        <w:t>taken twice by each examiner per participant and</w:t>
      </w:r>
    </w:p>
    <w:p w:rsidR="008029CC" w:rsidRDefault="009D002B" w:rsidP="008029CC">
      <w:pPr>
        <w:spacing w:after="0"/>
        <w:ind w:firstLine="720"/>
      </w:pPr>
      <w:r>
        <w:t xml:space="preserve">recorded by hand </w:t>
      </w:r>
      <w:r w:rsidR="008029CC">
        <w:t xml:space="preserve">on a sheet provided, </w:t>
      </w:r>
      <w:r>
        <w:t xml:space="preserve">by each examiner.  </w:t>
      </w:r>
      <w:r w:rsidR="005D210D">
        <w:t>The</w:t>
      </w:r>
      <w:r w:rsidR="008029CC">
        <w:t xml:space="preserve"> examiners will be blinded as to</w:t>
      </w:r>
    </w:p>
    <w:p w:rsidR="009D002B" w:rsidRDefault="009D002B" w:rsidP="008029CC">
      <w:pPr>
        <w:spacing w:after="0"/>
        <w:ind w:firstLine="720"/>
      </w:pPr>
      <w:r>
        <w:t xml:space="preserve">the previous measurements recorded for the participant. </w:t>
      </w:r>
    </w:p>
    <w:sectPr w:rsidR="009D002B" w:rsidSect="009170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B2E" w:rsidRDefault="00E51B2E" w:rsidP="00033BCD">
      <w:pPr>
        <w:spacing w:after="0" w:line="240" w:lineRule="auto"/>
      </w:pPr>
      <w:r>
        <w:separator/>
      </w:r>
    </w:p>
  </w:endnote>
  <w:endnote w:type="continuationSeparator" w:id="0">
    <w:p w:rsidR="00E51B2E" w:rsidRDefault="00E51B2E" w:rsidP="0003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B2E" w:rsidRDefault="00E51B2E" w:rsidP="00033BCD">
      <w:pPr>
        <w:spacing w:after="0" w:line="240" w:lineRule="auto"/>
      </w:pPr>
      <w:r>
        <w:separator/>
      </w:r>
    </w:p>
  </w:footnote>
  <w:footnote w:type="continuationSeparator" w:id="0">
    <w:p w:rsidR="00E51B2E" w:rsidRDefault="00E51B2E" w:rsidP="0003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033BC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F9CC71556FF5471E9DD3D237619F821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33BCD" w:rsidRDefault="00033BCD" w:rsidP="00033BC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33BC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DigiGoni</w:t>
              </w:r>
              <w:r w:rsidR="000A6742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Project: Reliability Testing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placeholder>
            <w:docPart w:val="D30B0522B88A412B861B078CDC457AF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09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33BCD" w:rsidRDefault="000A6742" w:rsidP="000A674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2009</w:t>
              </w:r>
            </w:p>
          </w:tc>
        </w:sdtContent>
      </w:sdt>
    </w:tr>
  </w:tbl>
  <w:p w:rsidR="00033BCD" w:rsidRDefault="00033B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48D"/>
    <w:rsid w:val="00033BCD"/>
    <w:rsid w:val="000A6742"/>
    <w:rsid w:val="000D12DC"/>
    <w:rsid w:val="00167BB5"/>
    <w:rsid w:val="0023648D"/>
    <w:rsid w:val="00270CA2"/>
    <w:rsid w:val="00356D3B"/>
    <w:rsid w:val="00395723"/>
    <w:rsid w:val="00464353"/>
    <w:rsid w:val="005D210D"/>
    <w:rsid w:val="005E7A91"/>
    <w:rsid w:val="00662749"/>
    <w:rsid w:val="007C0635"/>
    <w:rsid w:val="008029CC"/>
    <w:rsid w:val="008251AF"/>
    <w:rsid w:val="0091706C"/>
    <w:rsid w:val="009505DE"/>
    <w:rsid w:val="00954579"/>
    <w:rsid w:val="009663BB"/>
    <w:rsid w:val="009B1C10"/>
    <w:rsid w:val="009D002B"/>
    <w:rsid w:val="00AD75FE"/>
    <w:rsid w:val="00B1204A"/>
    <w:rsid w:val="00B4101F"/>
    <w:rsid w:val="00C014B6"/>
    <w:rsid w:val="00DA5818"/>
    <w:rsid w:val="00E51B2E"/>
    <w:rsid w:val="00EE1408"/>
    <w:rsid w:val="00F82023"/>
    <w:rsid w:val="00FA0D08"/>
    <w:rsid w:val="00FB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BCD"/>
  </w:style>
  <w:style w:type="paragraph" w:styleId="Footer">
    <w:name w:val="footer"/>
    <w:basedOn w:val="Normal"/>
    <w:link w:val="FooterChar"/>
    <w:uiPriority w:val="99"/>
    <w:semiHidden/>
    <w:unhideWhenUsed/>
    <w:rsid w:val="0003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BCD"/>
  </w:style>
  <w:style w:type="paragraph" w:styleId="BalloonText">
    <w:name w:val="Balloon Text"/>
    <w:basedOn w:val="Normal"/>
    <w:link w:val="BalloonTextChar"/>
    <w:uiPriority w:val="99"/>
    <w:semiHidden/>
    <w:unhideWhenUsed/>
    <w:rsid w:val="0003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CC71556FF5471E9DD3D237619F8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07AB2-2B9D-4237-96B4-4DA2282EEF05}"/>
      </w:docPartPr>
      <w:docPartBody>
        <w:p w:rsidR="00431362" w:rsidRDefault="00B53663" w:rsidP="00B53663">
          <w:pPr>
            <w:pStyle w:val="F9CC71556FF5471E9DD3D237619F821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30B0522B88A412B861B078CDC457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75C2-2006-4A66-AED6-0F5B19E06682}"/>
      </w:docPartPr>
      <w:docPartBody>
        <w:p w:rsidR="00431362" w:rsidRDefault="00B53663" w:rsidP="00B53663">
          <w:pPr>
            <w:pStyle w:val="D30B0522B88A412B861B078CDC457AF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53663"/>
    <w:rsid w:val="000875B1"/>
    <w:rsid w:val="00322981"/>
    <w:rsid w:val="003610F0"/>
    <w:rsid w:val="00431362"/>
    <w:rsid w:val="00B5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CC71556FF5471E9DD3D237619F821F">
    <w:name w:val="F9CC71556FF5471E9DD3D237619F821F"/>
    <w:rsid w:val="00B53663"/>
  </w:style>
  <w:style w:type="paragraph" w:customStyle="1" w:styleId="D30B0522B88A412B861B078CDC457AF6">
    <w:name w:val="D30B0522B88A412B861B078CDC457AF6"/>
    <w:rsid w:val="00B536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DigiGoni Project: Reliability Testing</vt:lpstr>
    </vt:vector>
  </TitlesOfParts>
  <Company>Hewlett-Packard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DigiGoni Project: Reliability Testing</dc:title>
  <dc:creator>Meredith Wahl</dc:creator>
  <cp:lastModifiedBy>Meredith Wahl</cp:lastModifiedBy>
  <cp:revision>17</cp:revision>
  <dcterms:created xsi:type="dcterms:W3CDTF">2009-11-06T00:42:00Z</dcterms:created>
  <dcterms:modified xsi:type="dcterms:W3CDTF">2009-11-28T03:00:00Z</dcterms:modified>
</cp:coreProperties>
</file>