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4C0" w:rsidRPr="00695797" w:rsidRDefault="006478AC" w:rsidP="00EF6924">
      <w:pPr>
        <w:numPr>
          <w:ilvl w:val="0"/>
          <w:numId w:val="13"/>
        </w:numPr>
        <w:spacing w:line="360" w:lineRule="auto"/>
        <w:ind w:left="0" w:firstLine="0"/>
        <w:jc w:val="both"/>
        <w:rPr>
          <w:b/>
          <w:szCs w:val="22"/>
        </w:rPr>
      </w:pPr>
      <w:r w:rsidRPr="00695797">
        <w:rPr>
          <w:b/>
          <w:szCs w:val="22"/>
        </w:rPr>
        <w:t>Introduction</w:t>
      </w:r>
      <w:r w:rsidR="007244C0" w:rsidRPr="00695797">
        <w:rPr>
          <w:b/>
          <w:szCs w:val="22"/>
        </w:rPr>
        <w:t xml:space="preserve">: </w:t>
      </w:r>
      <w:r w:rsidR="007244C0" w:rsidRPr="00695797">
        <w:t>There is an annual estimate of 1.5 million persons who experience traumatic brain injury. Approximately 80% are classified as mild</w:t>
      </w:r>
      <w:r w:rsidR="00D626B0">
        <w:t xml:space="preserve"> (mTBI)</w:t>
      </w:r>
      <w:r w:rsidR="007244C0" w:rsidRPr="00695797">
        <w:t xml:space="preserve">. In addition, the current conflict in Iraq and Afghanistan has increased the incidence of mTBI as associated with the increase in blast related injuries. </w:t>
      </w:r>
      <w:r w:rsidRPr="00695797">
        <w:t>Emerging studies suggest</w:t>
      </w:r>
      <w:r w:rsidR="00C1463A" w:rsidRPr="00695797">
        <w:t xml:space="preserve"> that oculomotor dysfunction </w:t>
      </w:r>
      <w:r w:rsidR="004824BE" w:rsidRPr="00695797">
        <w:t>may</w:t>
      </w:r>
      <w:r w:rsidR="00C1463A" w:rsidRPr="00695797">
        <w:t xml:space="preserve"> be</w:t>
      </w:r>
      <w:r w:rsidR="004824BE" w:rsidRPr="00695797">
        <w:t xml:space="preserve"> </w:t>
      </w:r>
      <w:r w:rsidR="00C1463A" w:rsidRPr="00695797">
        <w:t xml:space="preserve">related to several other common symptoms post </w:t>
      </w:r>
      <w:r w:rsidR="00B91ECC" w:rsidRPr="00695797">
        <w:t>mTBI</w:t>
      </w:r>
      <w:r w:rsidR="004824BE" w:rsidRPr="00695797">
        <w:t xml:space="preserve"> as part of a </w:t>
      </w:r>
      <w:r w:rsidR="00FE2C1D" w:rsidRPr="00695797">
        <w:t>“symptom cluster” includ</w:t>
      </w:r>
      <w:r w:rsidR="00C1463A" w:rsidRPr="00695797">
        <w:t>ing</w:t>
      </w:r>
      <w:r w:rsidR="00FE2C1D" w:rsidRPr="00695797">
        <w:t xml:space="preserve"> </w:t>
      </w:r>
      <w:r w:rsidR="007244C0" w:rsidRPr="00695797">
        <w:t>headache, fatigue</w:t>
      </w:r>
      <w:r w:rsidR="004824BE" w:rsidRPr="00695797">
        <w:t>,</w:t>
      </w:r>
      <w:r w:rsidR="007244C0" w:rsidRPr="00695797">
        <w:t xml:space="preserve"> complaints of dizziness and imbalance, difficulties with hearing, difficulties with memory and concentration, </w:t>
      </w:r>
      <w:r w:rsidR="004824BE" w:rsidRPr="00695797">
        <w:t xml:space="preserve">post traumatic stress disorders, </w:t>
      </w:r>
      <w:r w:rsidR="00FD203B" w:rsidRPr="00695797">
        <w:t>sleep disorder</w:t>
      </w:r>
      <w:r w:rsidR="007244C0" w:rsidRPr="00695797">
        <w:t xml:space="preserve"> </w:t>
      </w:r>
      <w:r w:rsidR="004824BE" w:rsidRPr="00695797">
        <w:t>and volatile</w:t>
      </w:r>
      <w:r w:rsidR="007244C0" w:rsidRPr="00695797">
        <w:t xml:space="preserve"> emotional state</w:t>
      </w:r>
      <w:r w:rsidR="004824BE" w:rsidRPr="00695797">
        <w:t>s</w:t>
      </w:r>
      <w:r w:rsidR="00FD184D" w:rsidRPr="00695797">
        <w:t xml:space="preserve"> (</w:t>
      </w:r>
      <w:r w:rsidR="00374BA1" w:rsidRPr="00695797">
        <w:t>Hoge</w:t>
      </w:r>
      <w:r w:rsidR="00FD184D" w:rsidRPr="00695797">
        <w:t xml:space="preserve"> 2008). </w:t>
      </w:r>
      <w:r w:rsidR="007244C0" w:rsidRPr="00695797">
        <w:t xml:space="preserve">Symptoms </w:t>
      </w:r>
      <w:r w:rsidRPr="00695797">
        <w:t>relating to oculomotor dysfunction can also lead to</w:t>
      </w:r>
      <w:r w:rsidR="007244C0" w:rsidRPr="00695797">
        <w:t xml:space="preserve"> post traumatic vertigo and can be debilitating for return to previous f</w:t>
      </w:r>
      <w:r w:rsidR="00374BA1" w:rsidRPr="00695797">
        <w:t xml:space="preserve">unctional levels such as work. </w:t>
      </w:r>
      <w:r w:rsidR="007244C0" w:rsidRPr="00695797">
        <w:t>However, a review by Ponsford (2004) found that oculomotor rehabilitation successful</w:t>
      </w:r>
      <w:r w:rsidRPr="00695797">
        <w:t>ly</w:t>
      </w:r>
      <w:r w:rsidR="007244C0" w:rsidRPr="00695797">
        <w:t xml:space="preserve"> </w:t>
      </w:r>
      <w:r w:rsidR="00D626B0">
        <w:t xml:space="preserve">helped </w:t>
      </w:r>
      <w:r w:rsidRPr="00695797">
        <w:t>decrease</w:t>
      </w:r>
      <w:r w:rsidR="007244C0" w:rsidRPr="00695797">
        <w:t xml:space="preserve"> </w:t>
      </w:r>
      <w:r w:rsidR="00D626B0">
        <w:t xml:space="preserve">several related </w:t>
      </w:r>
      <w:r w:rsidR="007244C0" w:rsidRPr="00695797">
        <w:t>symptoms to allow retur</w:t>
      </w:r>
      <w:r w:rsidR="00400065" w:rsidRPr="00695797">
        <w:t xml:space="preserve">n back to </w:t>
      </w:r>
      <w:r w:rsidR="00D626B0">
        <w:t xml:space="preserve">a </w:t>
      </w:r>
      <w:r w:rsidR="00400065" w:rsidRPr="00695797">
        <w:t>higher ADL function</w:t>
      </w:r>
      <w:r w:rsidR="007244C0" w:rsidRPr="00695797">
        <w:t xml:space="preserve"> after treatment twice a week for 8 weeks (Kapoor 2004). </w:t>
      </w:r>
      <w:r w:rsidRPr="00695797">
        <w:t xml:space="preserve">The complex presentation of oculomotor dysfunction within the “symptom cluster” continues to challenge rehabilitation specialists to improve diagnostic and treatment strategies to better care for persons </w:t>
      </w:r>
      <w:r w:rsidR="00D626B0">
        <w:t>after</w:t>
      </w:r>
      <w:r w:rsidRPr="00695797">
        <w:t xml:space="preserve"> mTBI</w:t>
      </w:r>
      <w:r w:rsidR="00374BA1" w:rsidRPr="00695797">
        <w:t xml:space="preserve"> (Marzo 2004)</w:t>
      </w:r>
      <w:r w:rsidRPr="00695797">
        <w:t xml:space="preserve">. </w:t>
      </w:r>
      <w:r w:rsidR="00823812">
        <w:t>R</w:t>
      </w:r>
      <w:r w:rsidR="007244C0" w:rsidRPr="00695797">
        <w:t xml:space="preserve">ecent work mentioned suggests </w:t>
      </w:r>
      <w:r w:rsidR="005C246A" w:rsidRPr="00695797">
        <w:t>that</w:t>
      </w:r>
      <w:r w:rsidRPr="00695797">
        <w:t xml:space="preserve"> there are tremendous </w:t>
      </w:r>
      <w:r w:rsidR="007244C0" w:rsidRPr="00695797">
        <w:t xml:space="preserve">benefits, </w:t>
      </w:r>
      <w:r w:rsidR="00823812">
        <w:t xml:space="preserve">however </w:t>
      </w:r>
      <w:r w:rsidR="007244C0" w:rsidRPr="00695797">
        <w:t>there co</w:t>
      </w:r>
      <w:r w:rsidR="00823812">
        <w:t>ntinues to be a paucity of work investigating</w:t>
      </w:r>
      <w:r w:rsidR="007244C0" w:rsidRPr="00695797">
        <w:t xml:space="preserve"> </w:t>
      </w:r>
      <w:r w:rsidR="00400065" w:rsidRPr="00695797">
        <w:t>standardized assessment of</w:t>
      </w:r>
      <w:r w:rsidR="007244C0" w:rsidRPr="00695797">
        <w:t xml:space="preserve"> oculomotor</w:t>
      </w:r>
      <w:r w:rsidR="00400065" w:rsidRPr="00695797">
        <w:t xml:space="preserve"> function </w:t>
      </w:r>
      <w:r w:rsidR="007244C0" w:rsidRPr="00695797">
        <w:t xml:space="preserve">during recovery of persons after mTBI.  </w:t>
      </w:r>
    </w:p>
    <w:p w:rsidR="008C0120" w:rsidRPr="00695797" w:rsidRDefault="007244C0" w:rsidP="00EF6924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b/>
        </w:rPr>
      </w:pPr>
      <w:r w:rsidRPr="00695797">
        <w:rPr>
          <w:b/>
        </w:rPr>
        <w:t xml:space="preserve">Preliminary </w:t>
      </w:r>
      <w:r w:rsidR="006478AC" w:rsidRPr="00695797">
        <w:rPr>
          <w:b/>
        </w:rPr>
        <w:t xml:space="preserve">Oculomotor </w:t>
      </w:r>
      <w:r w:rsidRPr="00695797">
        <w:rPr>
          <w:b/>
        </w:rPr>
        <w:t>Studies</w:t>
      </w:r>
      <w:r w:rsidR="00834D06" w:rsidRPr="00695797">
        <w:rPr>
          <w:b/>
        </w:rPr>
        <w:t xml:space="preserve"> at Texas State</w:t>
      </w:r>
      <w:r w:rsidRPr="00695797">
        <w:rPr>
          <w:b/>
        </w:rPr>
        <w:t>:</w:t>
      </w:r>
      <w:r w:rsidR="00EF6924" w:rsidRPr="00695797">
        <w:rPr>
          <w:b/>
        </w:rPr>
        <w:t xml:space="preserve"> </w:t>
      </w:r>
      <w:r w:rsidRPr="00695797">
        <w:rPr>
          <w:rFonts w:eastAsia="Calibri"/>
        </w:rPr>
        <w:t xml:space="preserve">Previous work </w:t>
      </w:r>
      <w:r w:rsidR="006478AC" w:rsidRPr="00695797">
        <w:rPr>
          <w:rFonts w:eastAsia="Calibri"/>
        </w:rPr>
        <w:t>by our research team</w:t>
      </w:r>
      <w:r w:rsidRPr="00695797">
        <w:rPr>
          <w:rFonts w:eastAsia="Calibri"/>
        </w:rPr>
        <w:t xml:space="preserve"> </w:t>
      </w:r>
      <w:r w:rsidR="00E50565" w:rsidRPr="00695797">
        <w:rPr>
          <w:rFonts w:eastAsia="Calibri"/>
        </w:rPr>
        <w:t>suggests</w:t>
      </w:r>
      <w:r w:rsidR="00B90D6C" w:rsidRPr="00695797">
        <w:rPr>
          <w:rFonts w:eastAsia="Calibri"/>
        </w:rPr>
        <w:t xml:space="preserve"> that</w:t>
      </w:r>
      <w:r w:rsidRPr="00695797">
        <w:rPr>
          <w:rFonts w:eastAsia="Calibri"/>
        </w:rPr>
        <w:t xml:space="preserve"> oculomotor function</w:t>
      </w:r>
      <w:r w:rsidR="00B90D6C" w:rsidRPr="00695797">
        <w:rPr>
          <w:rFonts w:eastAsia="Calibri"/>
        </w:rPr>
        <w:t xml:space="preserve"> can be measured </w:t>
      </w:r>
      <w:r w:rsidR="006478AC" w:rsidRPr="00695797">
        <w:rPr>
          <w:rFonts w:eastAsia="Calibri"/>
        </w:rPr>
        <w:t>with high</w:t>
      </w:r>
      <w:r w:rsidR="00B90D6C" w:rsidRPr="00695797">
        <w:rPr>
          <w:rFonts w:eastAsia="Calibri"/>
        </w:rPr>
        <w:t xml:space="preserve"> accura</w:t>
      </w:r>
      <w:r w:rsidR="006478AC" w:rsidRPr="00695797">
        <w:rPr>
          <w:rFonts w:eastAsia="Calibri"/>
        </w:rPr>
        <w:t>cy</w:t>
      </w:r>
      <w:r w:rsidR="00B90D6C" w:rsidRPr="00695797">
        <w:rPr>
          <w:rFonts w:eastAsia="Calibri"/>
        </w:rPr>
        <w:t xml:space="preserve"> using 2-dimensional</w:t>
      </w:r>
      <w:r w:rsidRPr="00695797">
        <w:rPr>
          <w:rFonts w:eastAsia="Calibri"/>
        </w:rPr>
        <w:t xml:space="preserve"> </w:t>
      </w:r>
      <w:r w:rsidR="00B90D6C" w:rsidRPr="00695797">
        <w:rPr>
          <w:rFonts w:eastAsia="Calibri"/>
        </w:rPr>
        <w:t xml:space="preserve">measurements </w:t>
      </w:r>
      <w:r w:rsidR="00823812">
        <w:rPr>
          <w:rFonts w:eastAsia="Calibri"/>
        </w:rPr>
        <w:t>with</w:t>
      </w:r>
      <w:r w:rsidR="00B90D6C" w:rsidRPr="00695797">
        <w:rPr>
          <w:rFonts w:eastAsia="Calibri"/>
        </w:rPr>
        <w:t xml:space="preserve"> </w:t>
      </w:r>
      <w:r w:rsidRPr="00695797">
        <w:rPr>
          <w:rFonts w:eastAsia="Calibri"/>
        </w:rPr>
        <w:t>the Tobii x120 eye-tracker (Stockholm, Sweden</w:t>
      </w:r>
      <w:r w:rsidR="006478AC" w:rsidRPr="00695797">
        <w:rPr>
          <w:rFonts w:eastAsia="Calibri"/>
        </w:rPr>
        <w:t>) which uses</w:t>
      </w:r>
      <w:r w:rsidRPr="00695797">
        <w:rPr>
          <w:rFonts w:eastAsia="Calibri"/>
        </w:rPr>
        <w:t xml:space="preserve"> a sampling rate of</w:t>
      </w:r>
      <w:r w:rsidR="00B90D6C" w:rsidRPr="00695797">
        <w:rPr>
          <w:rFonts w:eastAsia="Calibri"/>
        </w:rPr>
        <w:t xml:space="preserve"> </w:t>
      </w:r>
      <w:r w:rsidRPr="00695797">
        <w:rPr>
          <w:rFonts w:eastAsia="Calibri"/>
        </w:rPr>
        <w:t>120Hz</w:t>
      </w:r>
      <w:r w:rsidR="006478AC" w:rsidRPr="00695797">
        <w:rPr>
          <w:rFonts w:eastAsia="Calibri"/>
        </w:rPr>
        <w:t>,</w:t>
      </w:r>
      <w:r w:rsidRPr="00695797">
        <w:rPr>
          <w:rFonts w:eastAsia="Calibri"/>
        </w:rPr>
        <w:t xml:space="preserve"> accuracy of </w:t>
      </w:r>
      <w:r w:rsidR="00B90D6C" w:rsidRPr="00695797">
        <w:rPr>
          <w:rFonts w:eastAsia="Calibri"/>
        </w:rPr>
        <w:t xml:space="preserve">± </w:t>
      </w:r>
      <w:r w:rsidRPr="00695797">
        <w:rPr>
          <w:rFonts w:eastAsia="Calibri"/>
        </w:rPr>
        <w:t xml:space="preserve">0.5°, spatial resolution </w:t>
      </w:r>
      <w:r w:rsidR="00B90D6C" w:rsidRPr="00695797">
        <w:rPr>
          <w:rFonts w:eastAsia="Calibri"/>
        </w:rPr>
        <w:t>±</w:t>
      </w:r>
      <w:r w:rsidRPr="00695797">
        <w:rPr>
          <w:rFonts w:eastAsia="Calibri"/>
        </w:rPr>
        <w:t xml:space="preserve">0.2°, and drift </w:t>
      </w:r>
      <w:r w:rsidR="00B90D6C" w:rsidRPr="00695797">
        <w:rPr>
          <w:rFonts w:eastAsia="Calibri"/>
        </w:rPr>
        <w:t>±</w:t>
      </w:r>
      <w:r w:rsidRPr="00695797">
        <w:rPr>
          <w:rFonts w:eastAsia="Calibri"/>
        </w:rPr>
        <w:t xml:space="preserve">0.3°. </w:t>
      </w:r>
      <w:r w:rsidR="006478AC" w:rsidRPr="00695797">
        <w:rPr>
          <w:rFonts w:eastAsia="Calibri"/>
        </w:rPr>
        <w:t>We</w:t>
      </w:r>
      <w:r w:rsidRPr="00695797">
        <w:rPr>
          <w:rFonts w:eastAsia="Calibri"/>
        </w:rPr>
        <w:t xml:space="preserve"> have </w:t>
      </w:r>
      <w:r w:rsidR="006478AC" w:rsidRPr="00695797">
        <w:rPr>
          <w:rFonts w:eastAsia="Calibri"/>
        </w:rPr>
        <w:t xml:space="preserve">thus </w:t>
      </w:r>
      <w:r w:rsidRPr="00695797">
        <w:rPr>
          <w:rFonts w:eastAsia="Calibri"/>
        </w:rPr>
        <w:t xml:space="preserve">been able to demonstrate fine motor control in the oculomotor system as influenced by gender, substance abuse and age. </w:t>
      </w:r>
      <w:r w:rsidR="00823812">
        <w:rPr>
          <w:rFonts w:eastAsia="Calibri"/>
        </w:rPr>
        <w:t>For example, r</w:t>
      </w:r>
      <w:r w:rsidRPr="00695797">
        <w:rPr>
          <w:rFonts w:eastAsia="Calibri"/>
        </w:rPr>
        <w:t>esults indicate that saccade latencies vary around mean values of 219</w:t>
      </w:r>
      <w:r w:rsidR="00823812">
        <w:rPr>
          <w:rFonts w:eastAsia="Calibri"/>
        </w:rPr>
        <w:t xml:space="preserve"> (+/- 31)</w:t>
      </w:r>
      <w:r w:rsidRPr="00695797">
        <w:rPr>
          <w:rFonts w:eastAsia="Calibri"/>
        </w:rPr>
        <w:t>ms with longer delays associated with ETOH abuse.   In addition, aspects of oculomotor dysmetria indicating overshoot or undershoot have varie</w:t>
      </w:r>
      <w:r w:rsidR="00823812">
        <w:rPr>
          <w:rFonts w:eastAsia="Calibri"/>
        </w:rPr>
        <w:t>d</w:t>
      </w:r>
      <w:r w:rsidRPr="00695797">
        <w:rPr>
          <w:rFonts w:eastAsia="Calibri"/>
        </w:rPr>
        <w:t xml:space="preserve"> with a mean magnitude of overshoot of 1.3º (+/- 0.8º) and undershoot of 1.5º (+/- 0.9) (unpublished results). </w:t>
      </w:r>
    </w:p>
    <w:p w:rsidR="002F615F" w:rsidRPr="00695797" w:rsidRDefault="006478AC" w:rsidP="00EF6924">
      <w:pPr>
        <w:autoSpaceDE w:val="0"/>
        <w:autoSpaceDN w:val="0"/>
        <w:adjustRightInd w:val="0"/>
        <w:spacing w:line="360" w:lineRule="auto"/>
        <w:jc w:val="both"/>
        <w:rPr>
          <w:rFonts w:eastAsia="Calibri"/>
        </w:rPr>
      </w:pPr>
      <w:r>
        <w:rPr>
          <w:rFonts w:ascii="Arial" w:eastAsia="Calibri" w:hAnsi="Arial" w:cs="Arial"/>
        </w:rPr>
        <w:tab/>
      </w:r>
      <w:r w:rsidR="008C0120" w:rsidRPr="00695797">
        <w:rPr>
          <w:rFonts w:eastAsia="Calibri"/>
        </w:rPr>
        <w:t xml:space="preserve">Dynamic visual acuity </w:t>
      </w:r>
      <w:r w:rsidRPr="00695797">
        <w:rPr>
          <w:rFonts w:eastAsia="Calibri"/>
        </w:rPr>
        <w:t>for</w:t>
      </w:r>
      <w:r w:rsidR="008C0120" w:rsidRPr="00695797">
        <w:rPr>
          <w:rFonts w:eastAsia="Calibri"/>
        </w:rPr>
        <w:t xml:space="preserve"> horizontal (DVA-h) and vertical (DVA-v) head movements was also found to be with significant deficits in persons after </w:t>
      </w:r>
      <w:r w:rsidR="00AE0F3C" w:rsidRPr="00695797">
        <w:rPr>
          <w:rFonts w:eastAsia="Calibri"/>
        </w:rPr>
        <w:t>mTBI</w:t>
      </w:r>
      <w:r w:rsidR="008C0120" w:rsidRPr="00695797">
        <w:rPr>
          <w:rFonts w:eastAsia="Calibri"/>
        </w:rPr>
        <w:t xml:space="preserve"> compared </w:t>
      </w:r>
      <w:r w:rsidR="00AE0F3C" w:rsidRPr="00695797">
        <w:rPr>
          <w:rFonts w:eastAsia="Calibri"/>
        </w:rPr>
        <w:t xml:space="preserve">to </w:t>
      </w:r>
      <w:r w:rsidR="008C0120" w:rsidRPr="00695797">
        <w:rPr>
          <w:rFonts w:eastAsia="Calibri"/>
        </w:rPr>
        <w:t xml:space="preserve">age-matched healthy participants. </w:t>
      </w:r>
      <w:r w:rsidR="00236297" w:rsidRPr="00695797">
        <w:rPr>
          <w:rFonts w:eastAsia="Calibri"/>
        </w:rPr>
        <w:t>Impaired m</w:t>
      </w:r>
      <w:r w:rsidR="008C0120" w:rsidRPr="00695797">
        <w:rPr>
          <w:rFonts w:eastAsia="Calibri"/>
        </w:rPr>
        <w:t xml:space="preserve">ean DVA-h </w:t>
      </w:r>
      <w:r w:rsidRPr="00695797">
        <w:rPr>
          <w:rFonts w:eastAsia="Calibri"/>
        </w:rPr>
        <w:t xml:space="preserve">error </w:t>
      </w:r>
      <w:r w:rsidR="008C0120" w:rsidRPr="00695797">
        <w:rPr>
          <w:rFonts w:eastAsia="Calibri"/>
        </w:rPr>
        <w:t>val</w:t>
      </w:r>
      <w:r w:rsidR="005C246A" w:rsidRPr="00695797">
        <w:rPr>
          <w:rFonts w:eastAsia="Calibri"/>
        </w:rPr>
        <w:t xml:space="preserve">ues were </w:t>
      </w:r>
      <w:r w:rsidR="001B75CA">
        <w:rPr>
          <w:rFonts w:eastAsia="Calibri"/>
        </w:rPr>
        <w:lastRenderedPageBreak/>
        <w:t>2.09</w:t>
      </w:r>
      <w:r w:rsidR="005C246A" w:rsidRPr="00695797">
        <w:rPr>
          <w:rFonts w:eastAsia="Calibri"/>
        </w:rPr>
        <w:t xml:space="preserve"> (± </w:t>
      </w:r>
      <w:r w:rsidR="001B75CA">
        <w:rPr>
          <w:rFonts w:eastAsia="Calibri"/>
        </w:rPr>
        <w:t>1.22</w:t>
      </w:r>
      <w:r w:rsidR="005C246A" w:rsidRPr="00695797">
        <w:rPr>
          <w:rFonts w:eastAsia="Calibri"/>
        </w:rPr>
        <w:t>)</w:t>
      </w:r>
      <w:r w:rsidR="00823812">
        <w:rPr>
          <w:rFonts w:eastAsia="Calibri"/>
        </w:rPr>
        <w:t xml:space="preserve"> </w:t>
      </w:r>
      <w:r w:rsidR="005C246A" w:rsidRPr="00695797">
        <w:rPr>
          <w:rFonts w:eastAsia="Calibri"/>
        </w:rPr>
        <w:t xml:space="preserve">compared to </w:t>
      </w:r>
      <w:r w:rsidR="001B75CA">
        <w:rPr>
          <w:rFonts w:eastAsia="Calibri"/>
        </w:rPr>
        <w:t>1.50</w:t>
      </w:r>
      <w:r w:rsidR="008C0120" w:rsidRPr="00695797">
        <w:rPr>
          <w:rFonts w:eastAsia="Calibri"/>
        </w:rPr>
        <w:t xml:space="preserve"> (± </w:t>
      </w:r>
      <w:r w:rsidR="001B75CA">
        <w:rPr>
          <w:rFonts w:eastAsia="Calibri"/>
        </w:rPr>
        <w:t>1.18</w:t>
      </w:r>
      <w:r w:rsidR="008C0120" w:rsidRPr="00695797">
        <w:rPr>
          <w:rFonts w:eastAsia="Calibri"/>
        </w:rPr>
        <w:t>)</w:t>
      </w:r>
      <w:r w:rsidR="00823812">
        <w:rPr>
          <w:rFonts w:eastAsia="Calibri"/>
        </w:rPr>
        <w:t xml:space="preserve"> lines</w:t>
      </w:r>
      <w:r w:rsidR="00236297" w:rsidRPr="00695797">
        <w:rPr>
          <w:rFonts w:eastAsia="Calibri"/>
        </w:rPr>
        <w:t xml:space="preserve"> in the healthy group </w:t>
      </w:r>
      <w:r w:rsidR="005C246A" w:rsidRPr="00695797">
        <w:rPr>
          <w:rFonts w:eastAsia="Calibri"/>
        </w:rPr>
        <w:t xml:space="preserve">while mean DVA-v values were </w:t>
      </w:r>
      <w:r w:rsidR="001B75CA">
        <w:rPr>
          <w:rFonts w:eastAsia="Calibri"/>
        </w:rPr>
        <w:t xml:space="preserve">1.80 </w:t>
      </w:r>
      <w:r w:rsidR="005C246A" w:rsidRPr="00695797">
        <w:rPr>
          <w:rFonts w:eastAsia="Calibri"/>
        </w:rPr>
        <w:t xml:space="preserve">(± </w:t>
      </w:r>
      <w:r w:rsidR="001B75CA">
        <w:rPr>
          <w:rFonts w:eastAsia="Calibri"/>
        </w:rPr>
        <w:t>1.03</w:t>
      </w:r>
      <w:r w:rsidR="005C246A" w:rsidRPr="00695797">
        <w:rPr>
          <w:rFonts w:eastAsia="Calibri"/>
        </w:rPr>
        <w:t xml:space="preserve">) compared to </w:t>
      </w:r>
      <w:r w:rsidR="001B75CA">
        <w:rPr>
          <w:rFonts w:eastAsia="Calibri"/>
        </w:rPr>
        <w:t>1.73</w:t>
      </w:r>
      <w:r w:rsidR="008C0120" w:rsidRPr="00695797">
        <w:rPr>
          <w:rFonts w:eastAsia="Calibri"/>
        </w:rPr>
        <w:t xml:space="preserve"> (± </w:t>
      </w:r>
      <w:r w:rsidR="001B75CA">
        <w:rPr>
          <w:rFonts w:eastAsia="Calibri"/>
        </w:rPr>
        <w:t>0.90</w:t>
      </w:r>
      <w:r w:rsidR="008C0120" w:rsidRPr="00695797">
        <w:rPr>
          <w:rFonts w:eastAsia="Calibri"/>
        </w:rPr>
        <w:t>)</w:t>
      </w:r>
      <w:r w:rsidR="00823812">
        <w:rPr>
          <w:rFonts w:eastAsia="Calibri"/>
        </w:rPr>
        <w:t xml:space="preserve"> lines</w:t>
      </w:r>
      <w:r w:rsidR="008C0120" w:rsidRPr="00695797">
        <w:rPr>
          <w:rFonts w:eastAsia="Calibri"/>
        </w:rPr>
        <w:t xml:space="preserve"> respectively. </w:t>
      </w:r>
      <w:r w:rsidR="007244C0" w:rsidRPr="00695797">
        <w:rPr>
          <w:rFonts w:eastAsia="Calibri"/>
        </w:rPr>
        <w:t xml:space="preserve">Thus, our work agrees with other well-known labs </w:t>
      </w:r>
      <w:r w:rsidR="007244C0" w:rsidRPr="00695797">
        <w:rPr>
          <w:rFonts w:eastAsia="Calibri"/>
        </w:rPr>
        <w:fldChar w:fldCharType="begin"/>
      </w:r>
      <w:r w:rsidR="007244C0" w:rsidRPr="00695797">
        <w:rPr>
          <w:rFonts w:eastAsia="Calibri"/>
        </w:rPr>
        <w:instrText xml:space="preserve"> ADDIN EN.CITE &lt;EndNote&gt;&lt;Cite&gt;&lt;record&gt;&lt;ref-type name="Book"&gt;6&lt;/ref-type&gt;&lt;contributors&gt;&lt;authors&gt;&lt;author&gt;Leigh, R. John&lt;/author&gt;&lt;author&gt;Zee, David S.&lt;/author&gt;&lt;/authors&gt;&lt;/contributors&gt;&lt;titles&gt;&lt;title&gt;The Neurology of Eye Movements&lt;/title&gt;&lt;/titles&gt;&lt;dates&gt;&lt;year&gt;2006&lt;/year&gt;&lt;/dates&gt;&lt;publisher&gt;Oxford University Press&lt;/publisher&gt;&lt;/record&gt;&lt;/Cite&gt;&lt;/EndNote&gt;</w:instrText>
      </w:r>
      <w:r w:rsidR="007244C0" w:rsidRPr="00695797">
        <w:rPr>
          <w:rFonts w:eastAsia="Calibri"/>
        </w:rPr>
        <w:fldChar w:fldCharType="separate"/>
      </w:r>
      <w:r w:rsidR="007244C0" w:rsidRPr="00695797">
        <w:rPr>
          <w:rFonts w:eastAsia="Calibri"/>
        </w:rPr>
        <w:t>(Leigh &amp; Zee 2006)</w:t>
      </w:r>
      <w:r w:rsidR="007244C0" w:rsidRPr="00695797">
        <w:rPr>
          <w:rFonts w:eastAsia="Calibri"/>
        </w:rPr>
        <w:fldChar w:fldCharType="end"/>
      </w:r>
      <w:r w:rsidR="007244C0" w:rsidRPr="00695797">
        <w:rPr>
          <w:rFonts w:eastAsia="Calibri"/>
        </w:rPr>
        <w:t xml:space="preserve"> </w:t>
      </w:r>
      <w:r w:rsidR="008C0120" w:rsidRPr="00695797">
        <w:rPr>
          <w:rFonts w:eastAsia="Calibri"/>
        </w:rPr>
        <w:t>indicating that deficits in</w:t>
      </w:r>
      <w:r w:rsidR="007244C0" w:rsidRPr="00695797">
        <w:rPr>
          <w:rFonts w:eastAsia="Calibri"/>
        </w:rPr>
        <w:t xml:space="preserve"> oculomotor response</w:t>
      </w:r>
      <w:r w:rsidR="008C0120" w:rsidRPr="00695797">
        <w:rPr>
          <w:rFonts w:eastAsia="Calibri"/>
        </w:rPr>
        <w:t xml:space="preserve"> </w:t>
      </w:r>
      <w:r w:rsidR="00660693" w:rsidRPr="00695797">
        <w:rPr>
          <w:rFonts w:eastAsia="Calibri"/>
        </w:rPr>
        <w:t>occur</w:t>
      </w:r>
      <w:r w:rsidR="00236297" w:rsidRPr="00695797">
        <w:rPr>
          <w:rFonts w:eastAsia="Calibri"/>
        </w:rPr>
        <w:t xml:space="preserve"> even </w:t>
      </w:r>
      <w:r w:rsidR="008C0120" w:rsidRPr="00695797">
        <w:rPr>
          <w:rFonts w:eastAsia="Calibri"/>
        </w:rPr>
        <w:t xml:space="preserve">with </w:t>
      </w:r>
      <w:r w:rsidR="00236297" w:rsidRPr="00695797">
        <w:rPr>
          <w:rFonts w:eastAsia="Calibri"/>
        </w:rPr>
        <w:t xml:space="preserve">mild </w:t>
      </w:r>
      <w:r w:rsidR="008C0120" w:rsidRPr="00695797">
        <w:rPr>
          <w:rFonts w:eastAsia="Calibri"/>
        </w:rPr>
        <w:t>neur</w:t>
      </w:r>
      <w:r w:rsidR="00236297" w:rsidRPr="00695797">
        <w:rPr>
          <w:rFonts w:eastAsia="Calibri"/>
        </w:rPr>
        <w:t>ological</w:t>
      </w:r>
      <w:r w:rsidR="008C0120" w:rsidRPr="00695797">
        <w:rPr>
          <w:rFonts w:eastAsia="Calibri"/>
        </w:rPr>
        <w:t xml:space="preserve"> disorders. However</w:t>
      </w:r>
      <w:r w:rsidR="00823812">
        <w:rPr>
          <w:rFonts w:eastAsia="Calibri"/>
        </w:rPr>
        <w:t>,</w:t>
      </w:r>
      <w:r w:rsidR="008C0120" w:rsidRPr="00695797">
        <w:rPr>
          <w:rFonts w:eastAsia="Calibri"/>
        </w:rPr>
        <w:t xml:space="preserve"> we have yet to explore how </w:t>
      </w:r>
      <w:r w:rsidR="00823812">
        <w:rPr>
          <w:rFonts w:eastAsia="Calibri"/>
        </w:rPr>
        <w:t xml:space="preserve">all </w:t>
      </w:r>
      <w:r w:rsidR="008C0120" w:rsidRPr="00695797">
        <w:rPr>
          <w:rFonts w:eastAsia="Calibri"/>
        </w:rPr>
        <w:t xml:space="preserve">documented </w:t>
      </w:r>
      <w:r w:rsidR="00823812">
        <w:rPr>
          <w:rFonts w:eastAsia="Calibri"/>
        </w:rPr>
        <w:t xml:space="preserve">components of </w:t>
      </w:r>
      <w:r w:rsidR="00834D06" w:rsidRPr="00695797">
        <w:rPr>
          <w:rFonts w:eastAsia="Calibri"/>
        </w:rPr>
        <w:t>oculomotor dysfunction</w:t>
      </w:r>
      <w:r w:rsidR="007244C0" w:rsidRPr="00695797">
        <w:rPr>
          <w:rFonts w:eastAsia="Calibri"/>
        </w:rPr>
        <w:t xml:space="preserve"> </w:t>
      </w:r>
      <w:r w:rsidR="00834D06" w:rsidRPr="00695797">
        <w:rPr>
          <w:rFonts w:eastAsia="Calibri"/>
        </w:rPr>
        <w:t>in person</w:t>
      </w:r>
      <w:r w:rsidR="00236297" w:rsidRPr="00695797">
        <w:rPr>
          <w:rFonts w:eastAsia="Calibri"/>
        </w:rPr>
        <w:t>s</w:t>
      </w:r>
      <w:r w:rsidR="00834D06" w:rsidRPr="00695797">
        <w:rPr>
          <w:rFonts w:eastAsia="Calibri"/>
        </w:rPr>
        <w:t xml:space="preserve"> with mTBI </w:t>
      </w:r>
      <w:r w:rsidR="007244C0" w:rsidRPr="00695797">
        <w:rPr>
          <w:rFonts w:eastAsia="Calibri"/>
        </w:rPr>
        <w:t xml:space="preserve">might respond </w:t>
      </w:r>
      <w:r w:rsidR="00823812">
        <w:rPr>
          <w:rFonts w:eastAsia="Calibri"/>
        </w:rPr>
        <w:t xml:space="preserve">simultaneously </w:t>
      </w:r>
      <w:r w:rsidR="007244C0" w:rsidRPr="00695797">
        <w:rPr>
          <w:rFonts w:eastAsia="Calibri"/>
        </w:rPr>
        <w:t xml:space="preserve">over time during phases of recovery </w:t>
      </w:r>
      <w:r w:rsidR="00834D06" w:rsidRPr="00695797">
        <w:rPr>
          <w:rFonts w:eastAsia="Calibri"/>
        </w:rPr>
        <w:t>or customized</w:t>
      </w:r>
      <w:r w:rsidR="007244C0" w:rsidRPr="00695797">
        <w:rPr>
          <w:rFonts w:eastAsia="Calibri"/>
        </w:rPr>
        <w:t xml:space="preserve"> </w:t>
      </w:r>
      <w:r w:rsidR="00834D06" w:rsidRPr="00695797">
        <w:rPr>
          <w:rFonts w:eastAsia="Calibri"/>
        </w:rPr>
        <w:t>rehabilitation</w:t>
      </w:r>
      <w:r w:rsidR="007244C0" w:rsidRPr="00695797">
        <w:rPr>
          <w:rFonts w:eastAsia="Calibri"/>
        </w:rPr>
        <w:t xml:space="preserve"> similar to those suggested by Kapoor et al (2004). </w:t>
      </w:r>
    </w:p>
    <w:p w:rsidR="007244C0" w:rsidRPr="00695797" w:rsidRDefault="00A67418" w:rsidP="00EF6924">
      <w:pPr>
        <w:numPr>
          <w:ilvl w:val="0"/>
          <w:numId w:val="13"/>
        </w:numPr>
        <w:spacing w:line="360" w:lineRule="auto"/>
        <w:jc w:val="both"/>
        <w:rPr>
          <w:b/>
        </w:rPr>
      </w:pPr>
      <w:r w:rsidRPr="00695797">
        <w:rPr>
          <w:b/>
        </w:rPr>
        <w:t>Research Design and Methods</w:t>
      </w:r>
      <w:r w:rsidR="00B75A44" w:rsidRPr="00695797">
        <w:rPr>
          <w:b/>
        </w:rPr>
        <w:t xml:space="preserve">: </w:t>
      </w:r>
    </w:p>
    <w:p w:rsidR="00CA7951" w:rsidRPr="00695797" w:rsidRDefault="00CA7951" w:rsidP="00EF6924">
      <w:pPr>
        <w:spacing w:line="360" w:lineRule="auto"/>
        <w:jc w:val="both"/>
        <w:rPr>
          <w:b/>
          <w:sz w:val="6"/>
          <w:szCs w:val="22"/>
        </w:rPr>
      </w:pPr>
    </w:p>
    <w:p w:rsidR="00CA7951" w:rsidRPr="00695797" w:rsidRDefault="00053693" w:rsidP="00EF6924">
      <w:pPr>
        <w:numPr>
          <w:ilvl w:val="0"/>
          <w:numId w:val="16"/>
        </w:numPr>
        <w:spacing w:line="360" w:lineRule="auto"/>
        <w:jc w:val="both"/>
        <w:rPr>
          <w:b/>
          <w:sz w:val="28"/>
        </w:rPr>
      </w:pPr>
      <w:r w:rsidRPr="00695797">
        <w:rPr>
          <w:b/>
          <w:szCs w:val="22"/>
        </w:rPr>
        <w:t>Objectives</w:t>
      </w:r>
      <w:r w:rsidR="00521E1E" w:rsidRPr="00695797">
        <w:rPr>
          <w:b/>
          <w:szCs w:val="22"/>
        </w:rPr>
        <w:t xml:space="preserve">: </w:t>
      </w:r>
      <w:r w:rsidR="00521E1E" w:rsidRPr="00695797">
        <w:rPr>
          <w:szCs w:val="22"/>
        </w:rPr>
        <w:t xml:space="preserve">This </w:t>
      </w:r>
      <w:r w:rsidR="00823812">
        <w:rPr>
          <w:szCs w:val="22"/>
        </w:rPr>
        <w:t xml:space="preserve">one-year </w:t>
      </w:r>
      <w:r w:rsidR="00521E1E" w:rsidRPr="00695797">
        <w:rPr>
          <w:szCs w:val="22"/>
        </w:rPr>
        <w:t xml:space="preserve">project </w:t>
      </w:r>
      <w:r w:rsidRPr="00695797">
        <w:rPr>
          <w:szCs w:val="22"/>
        </w:rPr>
        <w:t xml:space="preserve">proposes </w:t>
      </w:r>
      <w:r w:rsidR="00BC7A3D" w:rsidRPr="00695797">
        <w:rPr>
          <w:szCs w:val="22"/>
        </w:rPr>
        <w:t xml:space="preserve">a test-retest study design </w:t>
      </w:r>
      <w:r w:rsidR="00236297" w:rsidRPr="00695797">
        <w:rPr>
          <w:szCs w:val="22"/>
        </w:rPr>
        <w:t xml:space="preserve">to </w:t>
      </w:r>
      <w:r w:rsidR="00BC7A3D" w:rsidRPr="00695797">
        <w:rPr>
          <w:szCs w:val="22"/>
        </w:rPr>
        <w:t xml:space="preserve">develop </w:t>
      </w:r>
      <w:r w:rsidRPr="00695797">
        <w:rPr>
          <w:szCs w:val="22"/>
        </w:rPr>
        <w:t xml:space="preserve">a computerized assessment </w:t>
      </w:r>
      <w:r w:rsidR="00BC7A3D" w:rsidRPr="00695797">
        <w:rPr>
          <w:szCs w:val="22"/>
        </w:rPr>
        <w:t>of oculomotor dysfunction</w:t>
      </w:r>
      <w:r w:rsidR="00521E1E" w:rsidRPr="00695797">
        <w:rPr>
          <w:szCs w:val="22"/>
        </w:rPr>
        <w:t xml:space="preserve"> </w:t>
      </w:r>
      <w:r w:rsidR="00BC7A3D" w:rsidRPr="00695797">
        <w:rPr>
          <w:szCs w:val="22"/>
        </w:rPr>
        <w:t>in</w:t>
      </w:r>
      <w:r w:rsidRPr="00695797">
        <w:rPr>
          <w:szCs w:val="22"/>
        </w:rPr>
        <w:t xml:space="preserve"> person</w:t>
      </w:r>
      <w:r w:rsidR="00BC7A3D" w:rsidRPr="00695797">
        <w:rPr>
          <w:szCs w:val="22"/>
        </w:rPr>
        <w:t>s</w:t>
      </w:r>
      <w:r w:rsidRPr="00695797">
        <w:rPr>
          <w:szCs w:val="22"/>
        </w:rPr>
        <w:t xml:space="preserve"> with mTBI. </w:t>
      </w:r>
    </w:p>
    <w:p w:rsidR="00CA7951" w:rsidRPr="00695797" w:rsidRDefault="00CA7951" w:rsidP="00EF6924">
      <w:pPr>
        <w:numPr>
          <w:ilvl w:val="0"/>
          <w:numId w:val="15"/>
        </w:numPr>
        <w:spacing w:line="360" w:lineRule="auto"/>
        <w:jc w:val="both"/>
        <w:rPr>
          <w:b/>
          <w:sz w:val="28"/>
        </w:rPr>
      </w:pPr>
      <w:r w:rsidRPr="00695797">
        <w:rPr>
          <w:b/>
          <w:szCs w:val="22"/>
        </w:rPr>
        <w:t>Aim 1</w:t>
      </w:r>
      <w:r w:rsidR="00521E1E" w:rsidRPr="00695797">
        <w:rPr>
          <w:b/>
          <w:szCs w:val="22"/>
        </w:rPr>
        <w:t>:</w:t>
      </w:r>
      <w:r w:rsidR="00521E1E" w:rsidRPr="00695797">
        <w:rPr>
          <w:szCs w:val="22"/>
        </w:rPr>
        <w:t xml:space="preserve"> </w:t>
      </w:r>
      <w:r w:rsidRPr="00695797">
        <w:rPr>
          <w:szCs w:val="22"/>
        </w:rPr>
        <w:t>Compare</w:t>
      </w:r>
      <w:r w:rsidR="00CD267C" w:rsidRPr="00695797">
        <w:rPr>
          <w:szCs w:val="22"/>
        </w:rPr>
        <w:t xml:space="preserve"> oculomotor function </w:t>
      </w:r>
      <w:r w:rsidRPr="00695797">
        <w:rPr>
          <w:szCs w:val="22"/>
        </w:rPr>
        <w:t>in</w:t>
      </w:r>
      <w:r w:rsidR="00CD267C" w:rsidRPr="00695797">
        <w:rPr>
          <w:szCs w:val="22"/>
        </w:rPr>
        <w:t xml:space="preserve"> persons with </w:t>
      </w:r>
      <w:r w:rsidRPr="00695797">
        <w:rPr>
          <w:szCs w:val="22"/>
        </w:rPr>
        <w:t xml:space="preserve">and without </w:t>
      </w:r>
      <w:r w:rsidR="00CD267C" w:rsidRPr="00695797">
        <w:rPr>
          <w:szCs w:val="22"/>
        </w:rPr>
        <w:t xml:space="preserve">mTBI </w:t>
      </w:r>
      <w:r w:rsidR="002F615F" w:rsidRPr="00695797">
        <w:rPr>
          <w:szCs w:val="22"/>
        </w:rPr>
        <w:t>in response to</w:t>
      </w:r>
      <w:r w:rsidRPr="00695797">
        <w:rPr>
          <w:szCs w:val="22"/>
        </w:rPr>
        <w:t xml:space="preserve"> </w:t>
      </w:r>
      <w:r w:rsidR="00236297" w:rsidRPr="00695797">
        <w:rPr>
          <w:szCs w:val="22"/>
        </w:rPr>
        <w:t>a recently developed</w:t>
      </w:r>
      <w:r w:rsidRPr="00695797">
        <w:rPr>
          <w:szCs w:val="22"/>
        </w:rPr>
        <w:t xml:space="preserve"> </w:t>
      </w:r>
      <w:r w:rsidR="002F615F" w:rsidRPr="00695797">
        <w:rPr>
          <w:szCs w:val="22"/>
        </w:rPr>
        <w:t xml:space="preserve">computerized </w:t>
      </w:r>
      <w:r w:rsidR="00CD267C" w:rsidRPr="00695797">
        <w:rPr>
          <w:szCs w:val="22"/>
        </w:rPr>
        <w:t xml:space="preserve">assessment </w:t>
      </w:r>
      <w:r w:rsidRPr="00695797">
        <w:rPr>
          <w:szCs w:val="22"/>
        </w:rPr>
        <w:t>battery</w:t>
      </w:r>
      <w:r w:rsidR="00CD267C" w:rsidRPr="00695797">
        <w:rPr>
          <w:szCs w:val="22"/>
        </w:rPr>
        <w:t xml:space="preserve">. </w:t>
      </w:r>
    </w:p>
    <w:p w:rsidR="00CD267C" w:rsidRPr="00695797" w:rsidRDefault="00CA7951" w:rsidP="00EF6924">
      <w:pPr>
        <w:numPr>
          <w:ilvl w:val="0"/>
          <w:numId w:val="15"/>
        </w:numPr>
        <w:spacing w:line="360" w:lineRule="auto"/>
        <w:jc w:val="both"/>
        <w:rPr>
          <w:b/>
          <w:sz w:val="28"/>
        </w:rPr>
      </w:pPr>
      <w:r w:rsidRPr="00695797">
        <w:rPr>
          <w:b/>
          <w:szCs w:val="22"/>
        </w:rPr>
        <w:t>Aim 2</w:t>
      </w:r>
      <w:r w:rsidR="00CD267C" w:rsidRPr="00695797">
        <w:rPr>
          <w:b/>
          <w:szCs w:val="22"/>
        </w:rPr>
        <w:t>:</w:t>
      </w:r>
      <w:r w:rsidRPr="00695797">
        <w:rPr>
          <w:szCs w:val="22"/>
        </w:rPr>
        <w:t xml:space="preserve"> Compare oculomotor function in persons with and without mTBI in response to repeated exposure </w:t>
      </w:r>
      <w:r w:rsidR="00823812">
        <w:rPr>
          <w:szCs w:val="22"/>
        </w:rPr>
        <w:t>to</w:t>
      </w:r>
      <w:r w:rsidRPr="00695797">
        <w:rPr>
          <w:szCs w:val="22"/>
        </w:rPr>
        <w:t xml:space="preserve"> the assessment battery. </w:t>
      </w:r>
      <w:r w:rsidR="00CD267C" w:rsidRPr="00695797">
        <w:rPr>
          <w:szCs w:val="22"/>
        </w:rPr>
        <w:t xml:space="preserve"> </w:t>
      </w:r>
    </w:p>
    <w:p w:rsidR="00901724" w:rsidRPr="00901724" w:rsidRDefault="00521E1E" w:rsidP="000C1A13">
      <w:pPr>
        <w:numPr>
          <w:ilvl w:val="0"/>
          <w:numId w:val="16"/>
        </w:numPr>
        <w:spacing w:before="120" w:line="360" w:lineRule="auto"/>
        <w:ind w:left="0" w:firstLine="0"/>
        <w:jc w:val="both"/>
        <w:rPr>
          <w:b/>
        </w:rPr>
      </w:pPr>
      <w:r w:rsidRPr="00901724">
        <w:rPr>
          <w:b/>
          <w:szCs w:val="22"/>
        </w:rPr>
        <w:t>Methods:</w:t>
      </w:r>
      <w:r w:rsidR="000A5353" w:rsidRPr="00901724">
        <w:rPr>
          <w:b/>
          <w:szCs w:val="22"/>
        </w:rPr>
        <w:t xml:space="preserve"> </w:t>
      </w:r>
      <w:r w:rsidR="00CD267C" w:rsidRPr="00901724">
        <w:rPr>
          <w:szCs w:val="22"/>
        </w:rPr>
        <w:t>Twenty (2</w:t>
      </w:r>
      <w:r w:rsidRPr="00901724">
        <w:rPr>
          <w:szCs w:val="22"/>
        </w:rPr>
        <w:t xml:space="preserve">0) participants aged 18 – 40 years of age </w:t>
      </w:r>
      <w:r w:rsidR="006E7278" w:rsidRPr="00901724">
        <w:rPr>
          <w:szCs w:val="22"/>
        </w:rPr>
        <w:t xml:space="preserve">will be recruited </w:t>
      </w:r>
      <w:r w:rsidRPr="00901724">
        <w:rPr>
          <w:szCs w:val="22"/>
        </w:rPr>
        <w:t>from</w:t>
      </w:r>
      <w:r w:rsidR="00237F45" w:rsidRPr="00901724">
        <w:rPr>
          <w:szCs w:val="22"/>
        </w:rPr>
        <w:t xml:space="preserve"> the Student Health Center and P</w:t>
      </w:r>
      <w:r w:rsidRPr="00901724">
        <w:rPr>
          <w:szCs w:val="22"/>
        </w:rPr>
        <w:t xml:space="preserve">hysical Therapy Clinic at Texas </w:t>
      </w:r>
      <w:r w:rsidR="00C96A9C" w:rsidRPr="00901724">
        <w:rPr>
          <w:szCs w:val="22"/>
        </w:rPr>
        <w:t>State</w:t>
      </w:r>
      <w:r w:rsidRPr="00901724">
        <w:rPr>
          <w:szCs w:val="22"/>
        </w:rPr>
        <w:t xml:space="preserve"> and </w:t>
      </w:r>
      <w:r w:rsidR="005F228A" w:rsidRPr="00901724">
        <w:rPr>
          <w:szCs w:val="22"/>
        </w:rPr>
        <w:t>the University Medical Center Brackenridge Hospital, Austin, Texas</w:t>
      </w:r>
      <w:r w:rsidRPr="00901724">
        <w:rPr>
          <w:szCs w:val="22"/>
        </w:rPr>
        <w:t xml:space="preserve">. </w:t>
      </w:r>
      <w:r w:rsidR="00CD267C" w:rsidRPr="00901724">
        <w:rPr>
          <w:szCs w:val="22"/>
        </w:rPr>
        <w:t>Ten (1</w:t>
      </w:r>
      <w:r w:rsidRPr="00901724">
        <w:rPr>
          <w:szCs w:val="22"/>
        </w:rPr>
        <w:t xml:space="preserve">0) persons with </w:t>
      </w:r>
      <w:r w:rsidR="000359D8" w:rsidRPr="00901724">
        <w:rPr>
          <w:szCs w:val="22"/>
        </w:rPr>
        <w:t xml:space="preserve">diagnosed </w:t>
      </w:r>
      <w:r w:rsidRPr="00901724">
        <w:rPr>
          <w:szCs w:val="22"/>
        </w:rPr>
        <w:t xml:space="preserve">mTBI and </w:t>
      </w:r>
      <w:r w:rsidR="00CD267C" w:rsidRPr="00901724">
        <w:rPr>
          <w:szCs w:val="22"/>
        </w:rPr>
        <w:t xml:space="preserve">ten </w:t>
      </w:r>
      <w:r w:rsidRPr="00901724">
        <w:rPr>
          <w:szCs w:val="22"/>
        </w:rPr>
        <w:t>(</w:t>
      </w:r>
      <w:r w:rsidR="00CD267C" w:rsidRPr="00901724">
        <w:rPr>
          <w:szCs w:val="22"/>
        </w:rPr>
        <w:t>10</w:t>
      </w:r>
      <w:r w:rsidRPr="00901724">
        <w:rPr>
          <w:szCs w:val="22"/>
        </w:rPr>
        <w:t xml:space="preserve">) persons without </w:t>
      </w:r>
      <w:r w:rsidR="000359D8" w:rsidRPr="00901724">
        <w:rPr>
          <w:szCs w:val="22"/>
        </w:rPr>
        <w:t>a history of mTBI</w:t>
      </w:r>
      <w:r w:rsidR="005218F4" w:rsidRPr="00901724">
        <w:rPr>
          <w:szCs w:val="22"/>
        </w:rPr>
        <w:t xml:space="preserve"> will</w:t>
      </w:r>
      <w:r w:rsidRPr="00901724">
        <w:rPr>
          <w:szCs w:val="22"/>
        </w:rPr>
        <w:t xml:space="preserve"> be recruited as a control group. All participants will provide informed written consent according to </w:t>
      </w:r>
      <w:r w:rsidRPr="00695797">
        <w:t>Texas State policies for human subject protection.</w:t>
      </w:r>
      <w:r w:rsidR="00B5235C" w:rsidRPr="00695797">
        <w:t xml:space="preserve">  </w:t>
      </w:r>
      <w:r w:rsidRPr="00695797">
        <w:t>Inclusion criteria will include binocular vision with visual acuity at least 20/</w:t>
      </w:r>
      <w:r w:rsidR="00C73D99" w:rsidRPr="00695797">
        <w:t xml:space="preserve">100, eye tracker “literate” or trackable pupils, </w:t>
      </w:r>
      <w:r w:rsidRPr="00695797">
        <w:t xml:space="preserve">at least </w:t>
      </w:r>
      <w:r w:rsidR="000359D8" w:rsidRPr="00695797">
        <w:t>4</w:t>
      </w:r>
      <w:r w:rsidRPr="00695797">
        <w:t xml:space="preserve"> weeks post a head </w:t>
      </w:r>
      <w:r w:rsidR="00C96A9C" w:rsidRPr="00695797">
        <w:t>injury classified as 13</w:t>
      </w:r>
      <w:r w:rsidRPr="00695797">
        <w:t xml:space="preserve">-15 on the Glasgow Coma Scale or a </w:t>
      </w:r>
      <w:r w:rsidR="00C96A9C" w:rsidRPr="00695797">
        <w:t>Grade 1</w:t>
      </w:r>
      <w:r w:rsidRPr="00695797">
        <w:t xml:space="preserve">-2 concussion, no spine abnormalities, </w:t>
      </w:r>
      <w:r w:rsidR="00901724">
        <w:t xml:space="preserve">and </w:t>
      </w:r>
      <w:r w:rsidR="006A50C3" w:rsidRPr="00695797">
        <w:t xml:space="preserve">a </w:t>
      </w:r>
      <w:r w:rsidR="00901724">
        <w:t xml:space="preserve">Mini-Mental State Exam </w:t>
      </w:r>
      <w:r w:rsidR="006A50C3" w:rsidRPr="00695797">
        <w:t>score</w:t>
      </w:r>
      <w:r w:rsidR="00901724">
        <w:t xml:space="preserve"> of</w:t>
      </w:r>
      <w:r w:rsidR="006A50C3" w:rsidRPr="00695797">
        <w:t xml:space="preserve"> at least </w:t>
      </w:r>
      <w:r w:rsidR="00901724">
        <w:t>25.</w:t>
      </w:r>
    </w:p>
    <w:p w:rsidR="000C1A13" w:rsidRPr="00901724" w:rsidRDefault="000A5353" w:rsidP="00901724">
      <w:pPr>
        <w:spacing w:before="120" w:line="360" w:lineRule="auto"/>
        <w:jc w:val="both"/>
        <w:rPr>
          <w:b/>
        </w:rPr>
      </w:pPr>
      <w:r w:rsidRPr="00901724">
        <w:rPr>
          <w:b/>
        </w:rPr>
        <w:t>2a</w:t>
      </w:r>
      <w:r w:rsidR="00237F45" w:rsidRPr="00901724">
        <w:rPr>
          <w:b/>
        </w:rPr>
        <w:t xml:space="preserve">. </w:t>
      </w:r>
      <w:r w:rsidR="008122B0" w:rsidRPr="00901724">
        <w:rPr>
          <w:b/>
        </w:rPr>
        <w:t>Assessment of Quality of Life</w:t>
      </w:r>
      <w:r w:rsidR="00521E1E" w:rsidRPr="00901724">
        <w:rPr>
          <w:b/>
        </w:rPr>
        <w:t xml:space="preserve">: </w:t>
      </w:r>
      <w:r w:rsidR="00521E1E" w:rsidRPr="00695797">
        <w:t>All participants will</w:t>
      </w:r>
      <w:r w:rsidR="00237F45" w:rsidRPr="00695797">
        <w:t xml:space="preserve"> complete a simple medical history form and then be screened by a physical therapist to ensure appropriate inclusion in the project. Then</w:t>
      </w:r>
      <w:r w:rsidR="004B577B" w:rsidRPr="00695797">
        <w:t xml:space="preserve"> each participant will </w:t>
      </w:r>
      <w:r w:rsidR="006771F5" w:rsidRPr="00695797">
        <w:t>complete</w:t>
      </w:r>
      <w:r w:rsidR="004B577B" w:rsidRPr="00695797">
        <w:t xml:space="preserve"> two standardized </w:t>
      </w:r>
      <w:r w:rsidR="008122B0" w:rsidRPr="00695797">
        <w:t xml:space="preserve">quality of life </w:t>
      </w:r>
      <w:r w:rsidR="00521E1E" w:rsidRPr="00695797">
        <w:t>questionnaire</w:t>
      </w:r>
      <w:r w:rsidR="004B577B" w:rsidRPr="00695797">
        <w:t>s</w:t>
      </w:r>
      <w:r w:rsidR="008122B0" w:rsidRPr="00695797">
        <w:t xml:space="preserve">, </w:t>
      </w:r>
      <w:r w:rsidR="00AB795E" w:rsidRPr="00695797">
        <w:t>the Neurobehavioral Symptom Index (NSI</w:t>
      </w:r>
      <w:r w:rsidR="008122B0" w:rsidRPr="00695797">
        <w:t>: 22-</w:t>
      </w:r>
      <w:r w:rsidR="004B577B" w:rsidRPr="00695797">
        <w:t>item</w:t>
      </w:r>
      <w:r w:rsidR="00AB795E" w:rsidRPr="00695797">
        <w:t xml:space="preserve">) </w:t>
      </w:r>
      <w:r w:rsidR="004B577B" w:rsidRPr="00695797">
        <w:t xml:space="preserve">and the </w:t>
      </w:r>
      <w:r w:rsidR="00237F45" w:rsidRPr="00695797">
        <w:t xml:space="preserve">Dizziness Handicap Index </w:t>
      </w:r>
      <w:r w:rsidR="008122B0" w:rsidRPr="00695797">
        <w:t xml:space="preserve">(DHI: </w:t>
      </w:r>
      <w:r w:rsidR="005218F4" w:rsidRPr="00695797">
        <w:t>25</w:t>
      </w:r>
      <w:r w:rsidR="008122B0" w:rsidRPr="00695797">
        <w:t>-</w:t>
      </w:r>
      <w:r w:rsidR="004B577B" w:rsidRPr="00695797">
        <w:t xml:space="preserve">item). </w:t>
      </w:r>
      <w:r w:rsidR="008122B0" w:rsidRPr="00901724">
        <w:rPr>
          <w:color w:val="000000"/>
        </w:rPr>
        <w:t>Both clinical questionnaires have demonstrated high sensitivity and specificity as a</w:t>
      </w:r>
      <w:r w:rsidR="004B577B" w:rsidRPr="00901724">
        <w:rPr>
          <w:color w:val="000000"/>
        </w:rPr>
        <w:t xml:space="preserve"> self-report </w:t>
      </w:r>
      <w:r w:rsidR="008122B0" w:rsidRPr="00901724">
        <w:rPr>
          <w:color w:val="000000"/>
        </w:rPr>
        <w:t xml:space="preserve">of how </w:t>
      </w:r>
      <w:r w:rsidR="00E02DBC" w:rsidRPr="00901724">
        <w:rPr>
          <w:color w:val="000000"/>
        </w:rPr>
        <w:t>symptoms might</w:t>
      </w:r>
      <w:r w:rsidR="008122B0" w:rsidRPr="00901724">
        <w:rPr>
          <w:color w:val="000000"/>
        </w:rPr>
        <w:t xml:space="preserve"> affect participation in </w:t>
      </w:r>
      <w:r w:rsidRPr="00901724">
        <w:rPr>
          <w:color w:val="000000"/>
        </w:rPr>
        <w:t>activities of daily living</w:t>
      </w:r>
      <w:r w:rsidR="004B577B" w:rsidRPr="00901724">
        <w:rPr>
          <w:color w:val="000000"/>
        </w:rPr>
        <w:t xml:space="preserve"> following</w:t>
      </w:r>
      <w:r w:rsidR="008122B0" w:rsidRPr="00901724">
        <w:rPr>
          <w:color w:val="000000"/>
        </w:rPr>
        <w:t xml:space="preserve"> </w:t>
      </w:r>
      <w:r w:rsidR="002F3B91" w:rsidRPr="00901724">
        <w:rPr>
          <w:color w:val="000000"/>
        </w:rPr>
        <w:t>m</w:t>
      </w:r>
      <w:r w:rsidR="004B577B" w:rsidRPr="00901724">
        <w:rPr>
          <w:color w:val="000000"/>
        </w:rPr>
        <w:t>TBI (</w:t>
      </w:r>
      <w:r w:rsidR="009E38B4">
        <w:t>Cicerone</w:t>
      </w:r>
      <w:r w:rsidR="004B577B" w:rsidRPr="00695797">
        <w:t xml:space="preserve"> 1995</w:t>
      </w:r>
      <w:r w:rsidR="008122B0" w:rsidRPr="00695797">
        <w:t xml:space="preserve">, </w:t>
      </w:r>
      <w:r w:rsidR="005218F4" w:rsidRPr="00901724">
        <w:rPr>
          <w:color w:val="000000"/>
        </w:rPr>
        <w:t>Jacobson 1990</w:t>
      </w:r>
      <w:r w:rsidR="004B577B" w:rsidRPr="00901724">
        <w:rPr>
          <w:color w:val="000000"/>
        </w:rPr>
        <w:t>)</w:t>
      </w:r>
      <w:r w:rsidR="009E38B4" w:rsidRPr="00901724">
        <w:rPr>
          <w:color w:val="000000"/>
        </w:rPr>
        <w:t>.</w:t>
      </w:r>
      <w:r w:rsidR="004B577B" w:rsidRPr="00901724">
        <w:rPr>
          <w:color w:val="000000"/>
        </w:rPr>
        <w:t xml:space="preserve"> </w:t>
      </w:r>
    </w:p>
    <w:p w:rsidR="0045735E" w:rsidRPr="00815314" w:rsidRDefault="00815314" w:rsidP="00815314">
      <w:pPr>
        <w:spacing w:before="120" w:line="360" w:lineRule="auto"/>
        <w:jc w:val="both"/>
        <w:rPr>
          <w:b/>
        </w:rPr>
      </w:pPr>
      <w:r w:rsidRPr="00695797">
        <w:rPr>
          <w:noProof/>
        </w:rPr>
        <w:lastRenderedPageBreak/>
        <w:pict>
          <v:group id="_x0000_s1081" style="position:absolute;left:0;text-align:left;margin-left:209.5pt;margin-top:167.1pt;width:222pt;height:193.65pt;z-index:-251658752" coordorigin="6090,7845" coordsize="4440,4230" wrapcoords="-73 -77 -73 21523 21673 21523 21673 -77 -73 -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left:6090;top:7845;width:4440;height:2595" wrapcoords="-73 -125 -73 21600 21673 21600 21673 -125 -73 -125" o:bordertopcolor="this" o:borderleftcolor="this" o:borderbottomcolor="this" o:borderrightcolor="this" stroked="t" strokeweight=".5pt">
              <v:imagedata r:id="rId8" o:title="Set Up for VOR Testing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0" type="#_x0000_t202" style="position:absolute;left:6090;top:10455;width:4440;height:1620">
              <v:textbox>
                <w:txbxContent>
                  <w:p w:rsidR="00046957" w:rsidRPr="00953CF0" w:rsidRDefault="00046957" w:rsidP="00E507C8">
                    <w:pPr>
                      <w:pStyle w:val="BodyText2"/>
                      <w:spacing w:line="240" w:lineRule="auto"/>
                      <w:outlineLvl w:val="1"/>
                      <w:rPr>
                        <w:rFonts w:ascii="Arial" w:hAnsi="Arial"/>
                        <w:b/>
                        <w:position w:val="-6"/>
                        <w:sz w:val="20"/>
                      </w:rPr>
                    </w:pPr>
                    <w:r w:rsidRPr="00FD184D">
                      <w:rPr>
                        <w:rFonts w:ascii="Arial" w:hAnsi="Arial"/>
                        <w:b/>
                        <w:position w:val="-6"/>
                        <w:sz w:val="20"/>
                      </w:rPr>
                      <w:t>Figure 1:</w:t>
                    </w:r>
                    <w:r w:rsidRPr="00FD184D">
                      <w:rPr>
                        <w:rFonts w:ascii="Arial" w:hAnsi="Arial"/>
                        <w:position w:val="-6"/>
                        <w:sz w:val="24"/>
                        <w:szCs w:val="24"/>
                      </w:rPr>
                      <w:t xml:space="preserve"> </w:t>
                    </w:r>
                    <w:r w:rsidRPr="00FD184D">
                      <w:rPr>
                        <w:rFonts w:ascii="Arial" w:hAnsi="Arial"/>
                        <w:position w:val="-6"/>
                        <w:sz w:val="20"/>
                      </w:rPr>
                      <w:t>Participants sit in a comfortable</w:t>
                    </w:r>
                    <w:r w:rsidRPr="00815314">
                      <w:rPr>
                        <w:rFonts w:ascii="Arial" w:hAnsi="Arial"/>
                        <w:position w:val="-6"/>
                        <w:sz w:val="18"/>
                      </w:rPr>
                      <w:t xml:space="preserve"> chair 3.0 meters from the computer screen while wearing a light weight headband with sensor</w:t>
                    </w:r>
                    <w:r>
                      <w:rPr>
                        <w:rFonts w:ascii="Arial" w:hAnsi="Arial"/>
                        <w:position w:val="-6"/>
                        <w:sz w:val="18"/>
                      </w:rPr>
                      <w:t xml:space="preserve"> of the InVison</w:t>
                    </w:r>
                    <w:r w:rsidRPr="00676946">
                      <w:rPr>
                        <w:rFonts w:ascii="Times New Roman" w:hAnsi="Times New Roman" w:cs="Times New Roman"/>
                        <w:position w:val="-6"/>
                        <w:sz w:val="24"/>
                        <w:szCs w:val="24"/>
                        <w:vertAlign w:val="superscript"/>
                      </w:rPr>
                      <w:t>®</w:t>
                    </w:r>
                    <w:r>
                      <w:rPr>
                        <w:rFonts w:ascii="Arial" w:hAnsi="Arial"/>
                        <w:position w:val="-6"/>
                        <w:sz w:val="18"/>
                      </w:rPr>
                      <w:t xml:space="preserve"> system</w:t>
                    </w:r>
                    <w:r w:rsidRPr="00815314">
                      <w:rPr>
                        <w:rFonts w:ascii="Arial" w:hAnsi="Arial"/>
                        <w:position w:val="-6"/>
                        <w:sz w:val="18"/>
                      </w:rPr>
                      <w:t xml:space="preserve">. Participates will identify the orientation of an optyotype “E” while moving the head to compare static and dynamic visual acuity. </w:t>
                    </w:r>
                  </w:p>
                </w:txbxContent>
              </v:textbox>
            </v:shape>
            <w10:wrap type="tight"/>
          </v:group>
        </w:pict>
      </w:r>
      <w:r w:rsidR="000A5353" w:rsidRPr="00695797">
        <w:rPr>
          <w:b/>
        </w:rPr>
        <w:t>2b</w:t>
      </w:r>
      <w:r w:rsidR="000C1A13" w:rsidRPr="00695797">
        <w:rPr>
          <w:b/>
        </w:rPr>
        <w:t xml:space="preserve">. </w:t>
      </w:r>
      <w:r w:rsidR="004B577B" w:rsidRPr="00695797">
        <w:rPr>
          <w:b/>
          <w:szCs w:val="22"/>
        </w:rPr>
        <w:t xml:space="preserve">Computerized </w:t>
      </w:r>
      <w:r w:rsidR="00521E1E" w:rsidRPr="00695797">
        <w:rPr>
          <w:b/>
          <w:szCs w:val="22"/>
        </w:rPr>
        <w:t>Assessment of Oculomotor Function:</w:t>
      </w:r>
      <w:r>
        <w:rPr>
          <w:b/>
        </w:rPr>
        <w:t xml:space="preserve"> </w:t>
      </w:r>
      <w:r w:rsidR="00521E1E" w:rsidRPr="00695797">
        <w:rPr>
          <w:position w:val="-6"/>
          <w:szCs w:val="22"/>
        </w:rPr>
        <w:t xml:space="preserve">Dynamic visual acuity (DVA) will be assessed using the standardized </w:t>
      </w:r>
      <w:r w:rsidR="00521E1E" w:rsidRPr="00695797">
        <w:rPr>
          <w:position w:val="-6"/>
        </w:rPr>
        <w:t>NeuroCom InVision</w:t>
      </w:r>
      <w:r w:rsidR="00521E1E" w:rsidRPr="00676946">
        <w:rPr>
          <w:position w:val="-6"/>
          <w:vertAlign w:val="superscript"/>
        </w:rPr>
        <w:t>®</w:t>
      </w:r>
      <w:r w:rsidR="00521E1E" w:rsidRPr="00695797">
        <w:rPr>
          <w:position w:val="-6"/>
        </w:rPr>
        <w:t xml:space="preserve"> protocol</w:t>
      </w:r>
      <w:r w:rsidR="005F0A1F" w:rsidRPr="00695797">
        <w:rPr>
          <w:position w:val="-6"/>
        </w:rPr>
        <w:t xml:space="preserve"> </w:t>
      </w:r>
      <w:r w:rsidR="00347523" w:rsidRPr="00695797">
        <w:rPr>
          <w:position w:val="-6"/>
        </w:rPr>
        <w:t>(NeuroCom International, Inc</w:t>
      </w:r>
      <w:r w:rsidR="009077F4" w:rsidRPr="00695797">
        <w:rPr>
          <w:position w:val="-6"/>
        </w:rPr>
        <w:t>.</w:t>
      </w:r>
      <w:r w:rsidR="00347523" w:rsidRPr="00695797">
        <w:rPr>
          <w:position w:val="-6"/>
        </w:rPr>
        <w:t>)</w:t>
      </w:r>
      <w:r w:rsidR="00521E1E" w:rsidRPr="00695797">
        <w:rPr>
          <w:position w:val="-6"/>
        </w:rPr>
        <w:t xml:space="preserve">. </w:t>
      </w:r>
      <w:r w:rsidR="000A3AC7" w:rsidRPr="00695797">
        <w:rPr>
          <w:position w:val="-6"/>
        </w:rPr>
        <w:t>This</w:t>
      </w:r>
      <w:r w:rsidR="003E27F8" w:rsidRPr="00695797">
        <w:rPr>
          <w:position w:val="-6"/>
        </w:rPr>
        <w:t xml:space="preserve"> computerized clinical test quantifies a patient’s ability to maintain visual </w:t>
      </w:r>
      <w:r w:rsidR="002C258F" w:rsidRPr="00695797">
        <w:rPr>
          <w:position w:val="-6"/>
        </w:rPr>
        <w:t>acuity</w:t>
      </w:r>
      <w:r w:rsidR="003E27F8" w:rsidRPr="00695797">
        <w:rPr>
          <w:position w:val="-6"/>
        </w:rPr>
        <w:t xml:space="preserve"> and stable gaze while actively moving the head. The test includes two protocols to test both Dynamic Visual Acuity (DVA) and Gaze </w:t>
      </w:r>
      <w:r w:rsidR="000A3AC7" w:rsidRPr="00695797">
        <w:rPr>
          <w:position w:val="-6"/>
        </w:rPr>
        <w:t>Stability (</w:t>
      </w:r>
      <w:r w:rsidR="003E27F8" w:rsidRPr="00695797">
        <w:rPr>
          <w:position w:val="-6"/>
        </w:rPr>
        <w:t xml:space="preserve">GS). The DVA measurement quantifies the impact of the vestibular ocular reflex (VOR) system impairment </w:t>
      </w:r>
      <w:r w:rsidR="00EA1448">
        <w:rPr>
          <w:position w:val="-6"/>
        </w:rPr>
        <w:t>for</w:t>
      </w:r>
      <w:r w:rsidR="003E27F8" w:rsidRPr="00695797">
        <w:rPr>
          <w:position w:val="-6"/>
        </w:rPr>
        <w:t xml:space="preserve"> a patient’s ability to perceive objects accurately while moving the head at a given velocity on a given movement axis (i.e. vertical, horizontal or diagonal). The GS measurement quantifies the range of head movement velocities on a given axis over which a patient is able to maintain an acceptable level of visual acuity.</w:t>
      </w:r>
      <w:r w:rsidR="000E669F" w:rsidRPr="00695797">
        <w:rPr>
          <w:position w:val="-6"/>
        </w:rPr>
        <w:t xml:space="preserve"> Activities of daily living require gaze stability at head velocities up to 120 degrees per secon</w:t>
      </w:r>
      <w:r w:rsidR="009E38B4">
        <w:rPr>
          <w:position w:val="-6"/>
        </w:rPr>
        <w:t>d (Leigh &amp; Zee 2006).</w:t>
      </w:r>
      <w:r w:rsidR="003E27F8" w:rsidRPr="00695797">
        <w:rPr>
          <w:position w:val="-6"/>
          <w:sz w:val="22"/>
          <w:szCs w:val="22"/>
        </w:rPr>
        <w:t xml:space="preserve"> </w:t>
      </w:r>
    </w:p>
    <w:p w:rsidR="00CB03A1" w:rsidRPr="00695797" w:rsidRDefault="00815314" w:rsidP="00E27FA9">
      <w:pPr>
        <w:pStyle w:val="BodyText2"/>
        <w:spacing w:line="360" w:lineRule="auto"/>
        <w:outlineLvl w:val="1"/>
        <w:rPr>
          <w:rFonts w:ascii="Times New Roman" w:hAnsi="Times New Roman" w:cs="Times New Roman"/>
          <w:position w:val="-6"/>
          <w:sz w:val="24"/>
          <w:szCs w:val="24"/>
        </w:rPr>
      </w:pPr>
      <w:r w:rsidRPr="00695797">
        <w:rPr>
          <w:rFonts w:ascii="Times New Roman" w:hAnsi="Times New Roman" w:cs="Times New Roman"/>
          <w:noProof/>
        </w:rPr>
        <w:pict>
          <v:group id="_x0000_s1079" style="position:absolute;left:0;text-align:left;margin-left:243.45pt;margin-top:120.65pt;width:199.7pt;height:216.9pt;z-index:-251659776" coordorigin="6152,2321" coordsize="4305,4474" wrapcoords="-75 -72 -75 21528 21600 21528 21675 9205 21675 -72 -75 -72">
            <v:group id="_x0000_s1067" style="position:absolute;left:6167;top:2321;width:4290;height:2602" coordorigin="5195,2968" coordsize="5235,3255" wrapcoords="-62 -100 -62 21600 21662 21600 21662 -100 -62 -100">
              <v:shape id="_x0000_s1050" type="#_x0000_t75" style="position:absolute;left:5195;top:2968;width:5235;height:3255;mso-position-horizontal:right" wrapcoords="-62 -100 -62 21600 21662 21600 21662 -100 -62 -100" o:bordertopcolor="this" o:borderleftcolor="this" o:borderbottomcolor="this" o:borderrightcolor="this" stroked="t" strokeweight=".5pt">
                <v:imagedata r:id="rId9" o:title="Static Eye_Head Training Seated Position"/>
              </v:shape>
              <v:shape id="_x0000_s1065" type="#_x0000_t202" style="position:absolute;left:7725;top:3450;width:975;height:435">
                <v:textbox style="mso-next-textbox:#_x0000_s1065">
                  <w:txbxContent>
                    <w:p w:rsidR="00046957" w:rsidRPr="008A7B7A" w:rsidRDefault="0004695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834D06">
                        <w:rPr>
                          <w:rFonts w:ascii="Arial Narrow" w:hAnsi="Arial Narrow"/>
                          <w:b/>
                          <w:sz w:val="20"/>
                        </w:rPr>
                        <w:t>70</w:t>
                      </w:r>
                      <w:r w:rsidRPr="00834D06">
                        <w:rPr>
                          <w:rFonts w:ascii="Arial Narrow" w:hAnsi="Arial Narrow"/>
                          <w:b/>
                          <w:sz w:val="18"/>
                        </w:rPr>
                        <w:t>cm</w:t>
                      </w:r>
                    </w:p>
                  </w:txbxContent>
                </v:textbox>
              </v:shape>
            </v:group>
            <v:shape id="_x0000_s1078" type="#_x0000_t202" style="position:absolute;left:6152;top:4938;width:4290;height:1857">
              <v:textbox>
                <w:txbxContent>
                  <w:p w:rsidR="00046957" w:rsidRPr="00E507C8" w:rsidRDefault="00046957" w:rsidP="00E507C8">
                    <w:pPr>
                      <w:pStyle w:val="Caption"/>
                      <w:spacing w:after="0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color w:val="auto"/>
                      </w:rPr>
                      <w:t>Figure 2</w:t>
                    </w:r>
                    <w:r w:rsidRPr="00E507C8">
                      <w:rPr>
                        <w:rFonts w:ascii="Arial" w:hAnsi="Arial" w:cs="Arial"/>
                        <w:color w:val="auto"/>
                      </w:rPr>
                      <w:t xml:space="preserve">: </w:t>
                    </w:r>
                    <w:r w:rsidRPr="00E507C8">
                      <w:rPr>
                        <w:rFonts w:ascii="Arial" w:hAnsi="Arial" w:cs="Arial"/>
                        <w:b w:val="0"/>
                        <w:color w:val="auto"/>
                      </w:rPr>
                      <w:t>Assessments of Smooth Pursuit and Saccadic Oculomotor movements. P</w:t>
                    </w:r>
                    <w:r>
                      <w:rPr>
                        <w:rFonts w:ascii="Arial" w:hAnsi="Arial" w:cs="Arial"/>
                        <w:b w:val="0"/>
                        <w:color w:val="auto"/>
                      </w:rPr>
                      <w:t>articipants will sit comfortably with the head</w:t>
                    </w:r>
                    <w:r w:rsidRPr="00E507C8">
                      <w:rPr>
                        <w:rFonts w:ascii="Arial" w:hAnsi="Arial" w:cs="Arial"/>
                        <w:b w:val="0"/>
                        <w:color w:val="auto"/>
                      </w:rPr>
                      <w:t xml:space="preserve"> resting on a chin rest while viewing targets on a computer screen while 2.-dimensional eye movements are recorded by the </w:t>
                    </w:r>
                    <w:r>
                      <w:rPr>
                        <w:rFonts w:ascii="Arial" w:hAnsi="Arial" w:cs="Arial"/>
                        <w:b w:val="0"/>
                        <w:color w:val="auto"/>
                      </w:rPr>
                      <w:t xml:space="preserve">Tobii x120 </w:t>
                    </w:r>
                    <w:r w:rsidRPr="00676946">
                      <w:rPr>
                        <w:position w:val="-6"/>
                        <w:sz w:val="24"/>
                        <w:szCs w:val="24"/>
                        <w:vertAlign w:val="superscript"/>
                      </w:rPr>
                      <w:t>®</w:t>
                    </w:r>
                    <w:r>
                      <w:rPr>
                        <w:position w:val="-6"/>
                        <w:sz w:val="24"/>
                        <w:szCs w:val="24"/>
                        <w:vertAlign w:val="superscript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 w:val="0"/>
                        <w:color w:val="auto"/>
                      </w:rPr>
                      <w:t xml:space="preserve">computerized eye-tracking system. </w:t>
                    </w:r>
                  </w:p>
                </w:txbxContent>
              </v:textbox>
            </v:shape>
            <w10:wrap type="tight"/>
          </v:group>
        </w:pict>
      </w:r>
      <w:r w:rsidR="007B5D67" w:rsidRPr="00695797">
        <w:rPr>
          <w:rFonts w:ascii="Times New Roman" w:hAnsi="Times New Roman" w:cs="Times New Roman"/>
        </w:rPr>
        <w:tab/>
      </w:r>
      <w:r w:rsidR="007B5D67" w:rsidRPr="00695797">
        <w:rPr>
          <w:rFonts w:ascii="Times New Roman" w:hAnsi="Times New Roman" w:cs="Times New Roman"/>
          <w:position w:val="-6"/>
          <w:sz w:val="24"/>
          <w:szCs w:val="24"/>
        </w:rPr>
        <w:t xml:space="preserve">Participants, wearing a </w:t>
      </w:r>
      <w:r w:rsidRPr="00695797">
        <w:rPr>
          <w:rFonts w:ascii="Times New Roman" w:hAnsi="Times New Roman" w:cs="Times New Roman"/>
          <w:position w:val="-6"/>
          <w:sz w:val="24"/>
          <w:szCs w:val="24"/>
        </w:rPr>
        <w:t>lightweight</w:t>
      </w:r>
      <w:r w:rsidR="007B5D67" w:rsidRPr="00695797">
        <w:rPr>
          <w:rFonts w:ascii="Times New Roman" w:hAnsi="Times New Roman" w:cs="Times New Roman"/>
          <w:position w:val="-6"/>
          <w:sz w:val="24"/>
          <w:szCs w:val="24"/>
        </w:rPr>
        <w:t xml:space="preserve"> headband and sensor, will be asked to sit in a comfortable chair 10 feet in front of a computer screen. (Figure </w:t>
      </w:r>
      <w:r w:rsidR="006108B8" w:rsidRPr="00695797">
        <w:rPr>
          <w:rFonts w:ascii="Times New Roman" w:hAnsi="Times New Roman" w:cs="Times New Roman"/>
          <w:position w:val="-6"/>
          <w:sz w:val="24"/>
          <w:szCs w:val="24"/>
        </w:rPr>
        <w:t>1</w:t>
      </w:r>
      <w:r w:rsidR="007B5D67" w:rsidRPr="00695797">
        <w:rPr>
          <w:rFonts w:ascii="Times New Roman" w:hAnsi="Times New Roman" w:cs="Times New Roman"/>
          <w:position w:val="-6"/>
          <w:sz w:val="24"/>
          <w:szCs w:val="24"/>
        </w:rPr>
        <w:t>) The participant will assess the orientation of the visual optotype “E,” which will be manipulated in size to record differences in visual acuity during static and dynamic head positions. A head sensor will record the participant’s head position and movement velocity in three axes during testing.  Test scores will be used to quantify a</w:t>
      </w:r>
      <w:r w:rsidR="009A34A8" w:rsidRPr="00695797">
        <w:rPr>
          <w:rFonts w:ascii="Times New Roman" w:hAnsi="Times New Roman" w:cs="Times New Roman"/>
          <w:position w:val="-6"/>
          <w:sz w:val="24"/>
          <w:szCs w:val="24"/>
        </w:rPr>
        <w:t xml:space="preserve">spects of oculomotor function. </w:t>
      </w:r>
    </w:p>
    <w:p w:rsidR="00927EAB" w:rsidRPr="00695797" w:rsidRDefault="004F1E5F" w:rsidP="00E27FA9">
      <w:pPr>
        <w:pStyle w:val="BodyText2"/>
        <w:spacing w:line="360" w:lineRule="auto"/>
        <w:outlineLvl w:val="1"/>
        <w:rPr>
          <w:rFonts w:ascii="Times New Roman" w:hAnsi="Times New Roman" w:cs="Times New Roman"/>
          <w:position w:val="-6"/>
          <w:sz w:val="24"/>
          <w:szCs w:val="24"/>
        </w:rPr>
      </w:pPr>
      <w:r w:rsidRPr="00695797">
        <w:rPr>
          <w:rFonts w:ascii="Times New Roman" w:hAnsi="Times New Roman" w:cs="Times New Roman"/>
          <w:position w:val="-6"/>
          <w:sz w:val="24"/>
          <w:szCs w:val="24"/>
        </w:rPr>
        <w:tab/>
      </w:r>
      <w:r w:rsidR="00EA1448">
        <w:rPr>
          <w:rFonts w:ascii="Times New Roman" w:hAnsi="Times New Roman" w:cs="Times New Roman"/>
          <w:position w:val="-6"/>
          <w:sz w:val="24"/>
          <w:szCs w:val="24"/>
        </w:rPr>
        <w:t>In addition, a</w:t>
      </w:r>
      <w:r w:rsidRPr="00695797">
        <w:rPr>
          <w:rFonts w:ascii="Times New Roman" w:hAnsi="Times New Roman" w:cs="Times New Roman"/>
          <w:position w:val="-6"/>
          <w:sz w:val="24"/>
          <w:szCs w:val="24"/>
        </w:rPr>
        <w:t xml:space="preserve">spects of smooth pursuit </w:t>
      </w:r>
      <w:r w:rsidR="000A5353" w:rsidRPr="00695797">
        <w:rPr>
          <w:rFonts w:ascii="Times New Roman" w:hAnsi="Times New Roman" w:cs="Times New Roman"/>
          <w:position w:val="-6"/>
          <w:sz w:val="24"/>
          <w:szCs w:val="24"/>
        </w:rPr>
        <w:t>(SP)</w:t>
      </w:r>
      <w:r w:rsidR="00192EA5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 w:rsidRPr="00695797">
        <w:rPr>
          <w:rFonts w:ascii="Times New Roman" w:hAnsi="Times New Roman" w:cs="Times New Roman"/>
          <w:position w:val="-6"/>
          <w:sz w:val="24"/>
          <w:szCs w:val="24"/>
        </w:rPr>
        <w:t xml:space="preserve">and saccadic </w:t>
      </w:r>
      <w:r w:rsidR="000A5353" w:rsidRPr="00695797">
        <w:rPr>
          <w:rFonts w:ascii="Times New Roman" w:hAnsi="Times New Roman" w:cs="Times New Roman"/>
          <w:position w:val="-6"/>
          <w:sz w:val="24"/>
          <w:szCs w:val="24"/>
        </w:rPr>
        <w:t xml:space="preserve">(SC) </w:t>
      </w:r>
      <w:r w:rsidRPr="00695797">
        <w:rPr>
          <w:rFonts w:ascii="Times New Roman" w:hAnsi="Times New Roman" w:cs="Times New Roman"/>
          <w:position w:val="-6"/>
          <w:sz w:val="24"/>
          <w:szCs w:val="24"/>
        </w:rPr>
        <w:t>oculomotor function will be assessed using the Tobii x120</w:t>
      </w:r>
      <w:r w:rsidRPr="00676946">
        <w:rPr>
          <w:rFonts w:ascii="Times New Roman" w:hAnsi="Times New Roman" w:cs="Times New Roman"/>
          <w:position w:val="-6"/>
          <w:sz w:val="24"/>
          <w:szCs w:val="24"/>
          <w:vertAlign w:val="superscript"/>
        </w:rPr>
        <w:t>®</w:t>
      </w:r>
      <w:r w:rsidRPr="00695797">
        <w:rPr>
          <w:rFonts w:ascii="Times New Roman" w:hAnsi="Times New Roman" w:cs="Times New Roman"/>
          <w:position w:val="-6"/>
          <w:sz w:val="24"/>
          <w:szCs w:val="24"/>
        </w:rPr>
        <w:t xml:space="preserve"> computerized eye-tracking system which uses infrared light to track papillary 2-dimensional movements at a sampling rate of 120Hz. </w:t>
      </w:r>
    </w:p>
    <w:p w:rsidR="009A3BD0" w:rsidRPr="008C2767" w:rsidRDefault="00815314" w:rsidP="00E02DBC">
      <w:pPr>
        <w:pStyle w:val="BodyText2"/>
        <w:spacing w:line="360" w:lineRule="auto"/>
        <w:outlineLvl w:val="1"/>
        <w:rPr>
          <w:rFonts w:ascii="Times New Roman" w:hAnsi="Times New Roman" w:cs="Times New Roman"/>
          <w:position w:val="-6"/>
          <w:sz w:val="24"/>
          <w:szCs w:val="24"/>
        </w:rPr>
      </w:pPr>
      <w:r w:rsidRPr="00695797">
        <w:rPr>
          <w:rFonts w:ascii="Times New Roman" w:hAnsi="Times New Roman" w:cs="Times New Roman"/>
          <w:noProof/>
          <w:color w:val="000000"/>
          <w:sz w:val="20"/>
        </w:rPr>
        <w:lastRenderedPageBreak/>
        <w:pict>
          <v:group id="_x0000_s1083" style="position:absolute;left:0;text-align:left;margin-left:166.7pt;margin-top:4.7pt;width:278.25pt;height:133.5pt;z-index:-251657728" coordorigin="4849,7329" coordsize="5565,2670" wrapcoords="9898 -121 -58 0 -58 21479 9839 21479 21658 21479 21658 -121 9898 -121">
            <v:shape id="_x0000_s1033" type="#_x0000_t202" style="position:absolute;left:7432;top:7329;width:2982;height:2670" wrapcoords="-81 -225 -81 21375 21681 21375 21681 -225 -81 -225" o:regroupid="3">
              <v:textbox style="mso-next-textbox:#_x0000_s1033">
                <w:txbxContent>
                  <w:p w:rsidR="00046957" w:rsidRDefault="00046957" w:rsidP="00834D06">
                    <w:pPr>
                      <w:pStyle w:val="Caption"/>
                      <w:spacing w:after="120"/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 w:rsidRPr="00FC32B8"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Figure</w:t>
                    </w: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 xml:space="preserve"> 3:</w:t>
                    </w:r>
                    <w:r w:rsidRPr="00FC32B8"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  <w:p w:rsidR="00046957" w:rsidRPr="00E02DBC" w:rsidRDefault="00046957" w:rsidP="00834D06">
                    <w:pPr>
                      <w:pStyle w:val="Caption"/>
                      <w:spacing w:after="120"/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 w:rsidRPr="00FC32B8">
                      <w:rPr>
                        <w:rFonts w:ascii="Arial" w:hAnsi="Arial" w:cs="Arial"/>
                        <w:b w:val="0"/>
                        <w:color w:val="000000"/>
                        <w:sz w:val="20"/>
                        <w:szCs w:val="20"/>
                      </w:rPr>
                      <w:t xml:space="preserve">Example of simple eye </w:t>
                    </w:r>
                    <w:r>
                      <w:rPr>
                        <w:rFonts w:ascii="Arial" w:hAnsi="Arial" w:cs="Arial"/>
                        <w:b w:val="0"/>
                        <w:color w:val="000000"/>
                        <w:sz w:val="20"/>
                        <w:szCs w:val="20"/>
                      </w:rPr>
                      <w:t xml:space="preserve">movement </w:t>
                    </w:r>
                    <w:r w:rsidRPr="00FC32B8">
                      <w:rPr>
                        <w:rFonts w:ascii="Arial" w:hAnsi="Arial" w:cs="Arial"/>
                        <w:b w:val="0"/>
                        <w:color w:val="000000"/>
                        <w:sz w:val="20"/>
                        <w:szCs w:val="20"/>
                      </w:rPr>
                      <w:t xml:space="preserve">patterns for the computerized </w:t>
                    </w:r>
                    <w:r>
                      <w:rPr>
                        <w:rFonts w:ascii="Arial" w:hAnsi="Arial" w:cs="Arial"/>
                        <w:b w:val="0"/>
                        <w:color w:val="000000"/>
                        <w:sz w:val="20"/>
                        <w:szCs w:val="20"/>
                      </w:rPr>
                      <w:t xml:space="preserve">Smooth Pursuit and </w:t>
                    </w:r>
                    <w:r w:rsidRPr="00FC32B8">
                      <w:rPr>
                        <w:rFonts w:ascii="Arial" w:hAnsi="Arial" w:cs="Arial"/>
                        <w:b w:val="0"/>
                        <w:color w:val="000000"/>
                        <w:sz w:val="20"/>
                        <w:szCs w:val="20"/>
                      </w:rPr>
                      <w:t xml:space="preserve">Saccadic Oculomotor </w:t>
                    </w:r>
                    <w:r>
                      <w:rPr>
                        <w:rFonts w:ascii="Arial" w:hAnsi="Arial" w:cs="Arial"/>
                        <w:b w:val="0"/>
                        <w:color w:val="000000"/>
                        <w:sz w:val="20"/>
                        <w:szCs w:val="20"/>
                      </w:rPr>
                      <w:t>Assessment</w:t>
                    </w:r>
                    <w:r w:rsidRPr="00FC32B8">
                      <w:rPr>
                        <w:rFonts w:ascii="Arial" w:hAnsi="Arial" w:cs="Arial"/>
                        <w:b w:val="0"/>
                        <w:color w:val="000000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color w:val="000000"/>
                        <w:sz w:val="20"/>
                        <w:szCs w:val="20"/>
                      </w:rPr>
                      <w:t xml:space="preserve"> Patterns increase in complexity by using varied target positions and numbers. </w:t>
                    </w:r>
                  </w:p>
                  <w:p w:rsidR="00046957" w:rsidRDefault="00046957"/>
                </w:txbxContent>
              </v:textbox>
            </v:shape>
            <v:shape id="Picture 5" o:spid="_x0000_s1052" type="#_x0000_t75" style="position:absolute;left:4849;top:7329;width:2549;height:2670;visibility:visible" wrapcoords="-97 121 -97 21357 21600 21357 21600 121 -97 121" o:regroupid="3">
              <v:imagedata r:id="rId10" o:title=""/>
            </v:shape>
            <w10:wrap type="tight"/>
          </v:group>
        </w:pict>
      </w:r>
      <w:r w:rsidR="00CE5819" w:rsidRPr="00695797">
        <w:rPr>
          <w:rFonts w:ascii="Times New Roman" w:hAnsi="Times New Roman" w:cs="Times New Roman"/>
          <w:position w:val="-6"/>
          <w:sz w:val="24"/>
          <w:szCs w:val="24"/>
        </w:rPr>
        <w:tab/>
      </w:r>
      <w:r w:rsidR="002C258F" w:rsidRPr="00695797">
        <w:rPr>
          <w:rFonts w:ascii="Times New Roman" w:hAnsi="Times New Roman" w:cs="Times New Roman"/>
          <w:position w:val="-6"/>
          <w:sz w:val="24"/>
          <w:szCs w:val="24"/>
        </w:rPr>
        <w:t>Each p</w:t>
      </w:r>
      <w:r w:rsidR="004F1E5F" w:rsidRPr="00695797">
        <w:rPr>
          <w:rFonts w:ascii="Times New Roman" w:hAnsi="Times New Roman" w:cs="Times New Roman"/>
          <w:position w:val="-6"/>
          <w:sz w:val="24"/>
          <w:szCs w:val="24"/>
        </w:rPr>
        <w:t xml:space="preserve">articipant will be asked </w:t>
      </w:r>
      <w:r w:rsidR="00C86ECE" w:rsidRPr="00695797">
        <w:rPr>
          <w:rFonts w:ascii="Times New Roman" w:hAnsi="Times New Roman" w:cs="Times New Roman"/>
          <w:position w:val="-6"/>
          <w:sz w:val="24"/>
          <w:szCs w:val="24"/>
        </w:rPr>
        <w:t xml:space="preserve">to sit in front of </w:t>
      </w:r>
      <w:r w:rsidR="002C258F" w:rsidRPr="00695797">
        <w:rPr>
          <w:rFonts w:ascii="Times New Roman" w:hAnsi="Times New Roman" w:cs="Times New Roman"/>
          <w:position w:val="-6"/>
          <w:sz w:val="24"/>
          <w:szCs w:val="24"/>
        </w:rPr>
        <w:t xml:space="preserve">a </w:t>
      </w:r>
      <w:r w:rsidR="00C86ECE" w:rsidRPr="00695797">
        <w:rPr>
          <w:rFonts w:ascii="Times New Roman" w:hAnsi="Times New Roman" w:cs="Times New Roman"/>
          <w:position w:val="-6"/>
          <w:sz w:val="24"/>
          <w:szCs w:val="24"/>
        </w:rPr>
        <w:t xml:space="preserve">19 inch monitor with the </w:t>
      </w:r>
      <w:r w:rsidR="002C258F" w:rsidRPr="00695797">
        <w:rPr>
          <w:rFonts w:ascii="Times New Roman" w:hAnsi="Times New Roman" w:cs="Times New Roman"/>
          <w:position w:val="-6"/>
          <w:sz w:val="24"/>
          <w:szCs w:val="24"/>
        </w:rPr>
        <w:t>chin</w:t>
      </w:r>
      <w:r w:rsidR="00C86ECE" w:rsidRPr="00695797">
        <w:rPr>
          <w:rFonts w:ascii="Times New Roman" w:hAnsi="Times New Roman" w:cs="Times New Roman"/>
          <w:position w:val="-6"/>
          <w:sz w:val="24"/>
          <w:szCs w:val="24"/>
        </w:rPr>
        <w:t xml:space="preserve"> resting </w:t>
      </w:r>
      <w:r w:rsidR="00EA1448" w:rsidRPr="00695797">
        <w:rPr>
          <w:rFonts w:ascii="Times New Roman" w:hAnsi="Times New Roman" w:cs="Times New Roman"/>
          <w:position w:val="-6"/>
          <w:sz w:val="24"/>
          <w:szCs w:val="24"/>
        </w:rPr>
        <w:t xml:space="preserve">comfortably </w:t>
      </w:r>
      <w:r w:rsidR="00C86ECE" w:rsidRPr="00695797">
        <w:rPr>
          <w:rFonts w:ascii="Times New Roman" w:hAnsi="Times New Roman" w:cs="Times New Roman"/>
          <w:position w:val="-6"/>
          <w:sz w:val="24"/>
          <w:szCs w:val="24"/>
        </w:rPr>
        <w:t xml:space="preserve">on </w:t>
      </w:r>
      <w:r w:rsidR="00EA1448">
        <w:rPr>
          <w:rFonts w:ascii="Times New Roman" w:hAnsi="Times New Roman" w:cs="Times New Roman"/>
          <w:position w:val="-6"/>
          <w:sz w:val="24"/>
          <w:szCs w:val="24"/>
        </w:rPr>
        <w:t>a</w:t>
      </w:r>
      <w:r w:rsidR="00C86ECE" w:rsidRPr="00695797">
        <w:rPr>
          <w:rFonts w:ascii="Times New Roman" w:hAnsi="Times New Roman" w:cs="Times New Roman"/>
          <w:position w:val="-6"/>
          <w:sz w:val="24"/>
          <w:szCs w:val="24"/>
        </w:rPr>
        <w:t xml:space="preserve"> chin rest and</w:t>
      </w:r>
      <w:r w:rsidR="004F1E5F" w:rsidRPr="00695797">
        <w:rPr>
          <w:rFonts w:ascii="Times New Roman" w:hAnsi="Times New Roman" w:cs="Times New Roman"/>
          <w:position w:val="-6"/>
          <w:sz w:val="24"/>
          <w:szCs w:val="24"/>
        </w:rPr>
        <w:t xml:space="preserve"> look at </w:t>
      </w:r>
      <w:r w:rsidR="00EA1448">
        <w:rPr>
          <w:rFonts w:ascii="Times New Roman" w:hAnsi="Times New Roman" w:cs="Times New Roman"/>
          <w:position w:val="-6"/>
          <w:sz w:val="24"/>
          <w:szCs w:val="24"/>
        </w:rPr>
        <w:t>a special</w:t>
      </w:r>
      <w:r w:rsidR="004F1E5F" w:rsidRPr="00695797">
        <w:rPr>
          <w:rFonts w:ascii="Times New Roman" w:hAnsi="Times New Roman" w:cs="Times New Roman"/>
          <w:position w:val="-6"/>
          <w:sz w:val="24"/>
          <w:szCs w:val="24"/>
        </w:rPr>
        <w:t xml:space="preserve"> stimulus designed to invoke saccades and smooth pursuit eye movements</w:t>
      </w:r>
      <w:r w:rsidR="006108B8" w:rsidRPr="00695797">
        <w:rPr>
          <w:rFonts w:ascii="Times New Roman" w:hAnsi="Times New Roman" w:cs="Times New Roman"/>
          <w:position w:val="-6"/>
          <w:sz w:val="24"/>
          <w:szCs w:val="24"/>
        </w:rPr>
        <w:t>.</w:t>
      </w:r>
      <w:r w:rsidR="004F1E5F" w:rsidRPr="00695797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 w:rsidR="00B91ECC" w:rsidRPr="00695797">
        <w:rPr>
          <w:rFonts w:ascii="Times New Roman" w:hAnsi="Times New Roman" w:cs="Times New Roman"/>
          <w:position w:val="-6"/>
          <w:sz w:val="24"/>
          <w:szCs w:val="24"/>
        </w:rPr>
        <w:t>(Figure</w:t>
      </w:r>
      <w:r w:rsidR="00E02DBC" w:rsidRPr="00695797">
        <w:rPr>
          <w:rFonts w:ascii="Times New Roman" w:hAnsi="Times New Roman" w:cs="Times New Roman"/>
          <w:position w:val="-6"/>
          <w:sz w:val="24"/>
          <w:szCs w:val="24"/>
        </w:rPr>
        <w:t>s</w:t>
      </w:r>
      <w:r w:rsidR="00B91ECC" w:rsidRPr="00695797">
        <w:rPr>
          <w:rFonts w:ascii="Times New Roman" w:hAnsi="Times New Roman" w:cs="Times New Roman"/>
          <w:position w:val="-6"/>
          <w:sz w:val="24"/>
          <w:szCs w:val="24"/>
        </w:rPr>
        <w:t xml:space="preserve"> 2</w:t>
      </w:r>
      <w:r w:rsidR="00E02DBC" w:rsidRPr="00695797">
        <w:rPr>
          <w:rFonts w:ascii="Times New Roman" w:hAnsi="Times New Roman" w:cs="Times New Roman"/>
          <w:position w:val="-6"/>
          <w:sz w:val="24"/>
          <w:szCs w:val="24"/>
        </w:rPr>
        <w:t xml:space="preserve"> &amp; 3</w:t>
      </w:r>
      <w:r w:rsidR="006108B8" w:rsidRPr="00695797">
        <w:rPr>
          <w:rFonts w:ascii="Times New Roman" w:hAnsi="Times New Roman" w:cs="Times New Roman"/>
          <w:position w:val="-6"/>
          <w:sz w:val="24"/>
          <w:szCs w:val="24"/>
        </w:rPr>
        <w:t xml:space="preserve">) </w:t>
      </w:r>
      <w:r w:rsidR="004F1E5F" w:rsidRPr="00695797">
        <w:rPr>
          <w:rFonts w:ascii="Times New Roman" w:hAnsi="Times New Roman" w:cs="Times New Roman"/>
          <w:position w:val="-6"/>
          <w:sz w:val="24"/>
          <w:szCs w:val="24"/>
        </w:rPr>
        <w:t xml:space="preserve">The eye movement data </w:t>
      </w:r>
      <w:r w:rsidR="006108B8" w:rsidRPr="00695797">
        <w:rPr>
          <w:rFonts w:ascii="Times New Roman" w:hAnsi="Times New Roman" w:cs="Times New Roman"/>
          <w:position w:val="-6"/>
          <w:sz w:val="24"/>
          <w:szCs w:val="24"/>
        </w:rPr>
        <w:t>will be</w:t>
      </w:r>
      <w:r w:rsidR="004F1E5F" w:rsidRPr="00695797">
        <w:rPr>
          <w:rFonts w:ascii="Times New Roman" w:hAnsi="Times New Roman" w:cs="Times New Roman"/>
          <w:position w:val="-6"/>
          <w:sz w:val="24"/>
          <w:szCs w:val="24"/>
        </w:rPr>
        <w:t xml:space="preserve"> recorded and </w:t>
      </w:r>
      <w:r w:rsidR="006108B8" w:rsidRPr="00695797">
        <w:rPr>
          <w:rFonts w:ascii="Times New Roman" w:hAnsi="Times New Roman" w:cs="Times New Roman"/>
          <w:position w:val="-6"/>
          <w:sz w:val="24"/>
          <w:szCs w:val="24"/>
        </w:rPr>
        <w:t xml:space="preserve">then </w:t>
      </w:r>
      <w:r w:rsidR="004F1E5F" w:rsidRPr="00695797">
        <w:rPr>
          <w:rFonts w:ascii="Times New Roman" w:hAnsi="Times New Roman" w:cs="Times New Roman"/>
          <w:position w:val="-6"/>
          <w:sz w:val="24"/>
          <w:szCs w:val="24"/>
        </w:rPr>
        <w:t xml:space="preserve">processed offline by </w:t>
      </w:r>
      <w:r w:rsidR="00EA1448">
        <w:rPr>
          <w:rFonts w:ascii="Times New Roman" w:hAnsi="Times New Roman" w:cs="Times New Roman"/>
          <w:position w:val="-6"/>
          <w:sz w:val="24"/>
          <w:szCs w:val="24"/>
        </w:rPr>
        <w:t>MATLAB</w:t>
      </w:r>
      <w:r w:rsidR="00EA1448" w:rsidRPr="00676946">
        <w:rPr>
          <w:rFonts w:ascii="Times New Roman" w:hAnsi="Times New Roman" w:cs="Times New Roman"/>
          <w:position w:val="-6"/>
          <w:sz w:val="24"/>
          <w:szCs w:val="24"/>
          <w:vertAlign w:val="superscript"/>
        </w:rPr>
        <w:t>®</w:t>
      </w:r>
      <w:r w:rsidR="00EA1448">
        <w:rPr>
          <w:rFonts w:ascii="Times New Roman" w:hAnsi="Times New Roman" w:cs="Times New Roman"/>
          <w:position w:val="-6"/>
          <w:sz w:val="24"/>
          <w:szCs w:val="24"/>
          <w:vertAlign w:val="superscript"/>
        </w:rPr>
        <w:t xml:space="preserve"> </w:t>
      </w:r>
      <w:r w:rsidR="004F1E5F" w:rsidRPr="00695797">
        <w:rPr>
          <w:rFonts w:ascii="Times New Roman" w:hAnsi="Times New Roman" w:cs="Times New Roman"/>
          <w:position w:val="-6"/>
          <w:sz w:val="24"/>
          <w:szCs w:val="24"/>
        </w:rPr>
        <w:t>analysis software to validate proposed oculomotor function metrics.</w:t>
      </w:r>
      <w:r w:rsidR="00EA1448">
        <w:rPr>
          <w:rFonts w:ascii="Times New Roman" w:hAnsi="Times New Roman" w:cs="Times New Roman"/>
          <w:position w:val="-6"/>
          <w:sz w:val="24"/>
          <w:szCs w:val="24"/>
        </w:rPr>
        <w:t xml:space="preserve"> All</w:t>
      </w:r>
      <w:r w:rsidR="00E27FA9" w:rsidRPr="00695797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 w:rsidR="008C2767">
        <w:rPr>
          <w:rFonts w:ascii="Times New Roman" w:hAnsi="Times New Roman" w:cs="Times New Roman"/>
        </w:rPr>
        <w:t>p</w:t>
      </w:r>
      <w:r w:rsidR="008C2767" w:rsidRPr="008C2767">
        <w:rPr>
          <w:rFonts w:ascii="Times New Roman" w:hAnsi="Times New Roman" w:cs="Times New Roman"/>
        </w:rPr>
        <w:t xml:space="preserve">articipants will participate in three test sessions (baseline-T1, 1 week-T2, and 2-weeks-T3). </w:t>
      </w:r>
      <w:r w:rsidR="00E27FA9" w:rsidRPr="008C2767">
        <w:rPr>
          <w:rFonts w:ascii="Times New Roman" w:hAnsi="Times New Roman" w:cs="Times New Roman"/>
          <w:position w:val="-6"/>
          <w:sz w:val="24"/>
          <w:szCs w:val="24"/>
        </w:rPr>
        <w:t xml:space="preserve">         </w:t>
      </w:r>
    </w:p>
    <w:p w:rsidR="0014225A" w:rsidRPr="00695797" w:rsidRDefault="00E84F5F" w:rsidP="00BC7A3D">
      <w:pPr>
        <w:numPr>
          <w:ilvl w:val="0"/>
          <w:numId w:val="16"/>
        </w:numPr>
        <w:spacing w:before="120"/>
        <w:jc w:val="both"/>
        <w:rPr>
          <w:b/>
          <w:bCs/>
          <w:sz w:val="22"/>
          <w:szCs w:val="22"/>
        </w:rPr>
      </w:pPr>
      <w:r w:rsidRPr="00695797">
        <w:rPr>
          <w:b/>
          <w:bCs/>
          <w:sz w:val="22"/>
          <w:szCs w:val="22"/>
        </w:rPr>
        <w:t>DATA MANAGEMENT AND ANALYSIS</w:t>
      </w:r>
    </w:p>
    <w:p w:rsidR="00907434" w:rsidRPr="00695797" w:rsidRDefault="000C1A13" w:rsidP="009E38B4">
      <w:pPr>
        <w:autoSpaceDE w:val="0"/>
        <w:autoSpaceDN w:val="0"/>
        <w:adjustRightInd w:val="0"/>
        <w:spacing w:before="120" w:line="360" w:lineRule="auto"/>
        <w:ind w:firstLine="720"/>
        <w:jc w:val="both"/>
      </w:pPr>
      <w:r w:rsidRPr="00695797">
        <w:t>A repeated-measures ANOVA</w:t>
      </w:r>
      <w:r w:rsidR="00521E1E" w:rsidRPr="00695797">
        <w:t xml:space="preserve"> statistical approach</w:t>
      </w:r>
      <w:r w:rsidRPr="00695797">
        <w:t xml:space="preserve"> will be used to</w:t>
      </w:r>
      <w:r w:rsidR="00521E1E" w:rsidRPr="00695797">
        <w:t xml:space="preserve"> c</w:t>
      </w:r>
      <w:r w:rsidR="00E02DBC" w:rsidRPr="00695797">
        <w:t xml:space="preserve">ompare group versus time </w:t>
      </w:r>
      <w:r w:rsidR="00521E1E" w:rsidRPr="00695797">
        <w:t xml:space="preserve">interactions. Independent variables will be Group and Time while dependent variables will be </w:t>
      </w:r>
      <w:r w:rsidR="00C72EBA" w:rsidRPr="00695797">
        <w:t>questionnaire</w:t>
      </w:r>
      <w:r w:rsidR="00EA1448">
        <w:t xml:space="preserve"> scores</w:t>
      </w:r>
      <w:r w:rsidR="00C72EBA" w:rsidRPr="00695797">
        <w:t xml:space="preserve"> and </w:t>
      </w:r>
      <w:r w:rsidR="00521E1E" w:rsidRPr="00695797">
        <w:t xml:space="preserve">oculomotor </w:t>
      </w:r>
      <w:r w:rsidR="00EA1448">
        <w:t>measurement</w:t>
      </w:r>
      <w:r w:rsidR="000479EA" w:rsidRPr="00695797">
        <w:t xml:space="preserve"> </w:t>
      </w:r>
      <w:r w:rsidR="00521E1E" w:rsidRPr="00695797">
        <w:t xml:space="preserve">scores. </w:t>
      </w:r>
      <w:r w:rsidR="00551607" w:rsidRPr="00695797">
        <w:t xml:space="preserve">A </w:t>
      </w:r>
      <w:r w:rsidR="00EA1448">
        <w:t xml:space="preserve">reliability analysis will use the </w:t>
      </w:r>
      <w:r w:rsidR="00551607" w:rsidRPr="00695797">
        <w:t>Spearman-Brown Coefficient of Reliability calculated w</w:t>
      </w:r>
      <w:r w:rsidR="00EA1448">
        <w:t xml:space="preserve">ith a hypothesized mean of zero. </w:t>
      </w:r>
      <w:r w:rsidR="009E38B4">
        <w:t>SPSS (vs.</w:t>
      </w:r>
      <w:r w:rsidR="00C72EBA" w:rsidRPr="00695797">
        <w:t>17.0</w:t>
      </w:r>
      <w:r w:rsidR="009E38B4">
        <w:t>)</w:t>
      </w:r>
      <w:r w:rsidR="00C72EBA" w:rsidRPr="00695797">
        <w:t xml:space="preserve"> will be used for database management and data analysis. </w:t>
      </w:r>
      <w:r w:rsidR="00373DBE" w:rsidRPr="00695797">
        <w:t xml:space="preserve"> </w:t>
      </w:r>
      <w:r w:rsidR="00130A45" w:rsidRPr="00695797">
        <w:t xml:space="preserve">A power analysis </w:t>
      </w:r>
      <w:r w:rsidR="009E38B4">
        <w:t>(Power &amp;</w:t>
      </w:r>
      <w:r w:rsidR="00C04F53" w:rsidRPr="00695797">
        <w:t xml:space="preserve"> Precision vs. </w:t>
      </w:r>
      <w:r w:rsidR="00CC57D8" w:rsidRPr="00695797">
        <w:t xml:space="preserve">3.0) </w:t>
      </w:r>
      <w:r w:rsidR="00130A45" w:rsidRPr="00695797">
        <w:t>was cond</w:t>
      </w:r>
      <w:r w:rsidR="00BC7A3D" w:rsidRPr="00695797">
        <w:t xml:space="preserve">ucted </w:t>
      </w:r>
      <w:r w:rsidR="00192EA5">
        <w:t>for</w:t>
      </w:r>
      <w:r w:rsidR="00C04F53" w:rsidRPr="00695797">
        <w:t xml:space="preserve"> a</w:t>
      </w:r>
      <w:r w:rsidR="00BC7A3D" w:rsidRPr="00695797">
        <w:t xml:space="preserve"> sample size of </w:t>
      </w:r>
      <w:r w:rsidR="00C72EBA" w:rsidRPr="00695797">
        <w:t>2</w:t>
      </w:r>
      <w:r w:rsidR="00130A45" w:rsidRPr="00695797">
        <w:t>0 subjects</w:t>
      </w:r>
      <w:r w:rsidR="00551607" w:rsidRPr="00695797">
        <w:t xml:space="preserve"> </w:t>
      </w:r>
      <w:r w:rsidR="00C04F53" w:rsidRPr="00695797">
        <w:t xml:space="preserve">(10 per group) </w:t>
      </w:r>
      <w:r w:rsidR="00551607" w:rsidRPr="00695797">
        <w:t xml:space="preserve">using </w:t>
      </w:r>
      <w:r w:rsidR="00CC57D8" w:rsidRPr="00695797">
        <w:t xml:space="preserve">criterion for significance 80% </w:t>
      </w:r>
      <w:r w:rsidR="00192EA5">
        <w:t xml:space="preserve">power </w:t>
      </w:r>
      <w:r w:rsidR="00CC57D8" w:rsidRPr="00695797">
        <w:t>and an alpha</w:t>
      </w:r>
      <w:r w:rsidR="00373DBE" w:rsidRPr="00695797">
        <w:t xml:space="preserve"> </w:t>
      </w:r>
      <w:r w:rsidR="00CC57D8" w:rsidRPr="00695797">
        <w:t xml:space="preserve">0.05, for a 2-tailed test. </w:t>
      </w:r>
      <w:r w:rsidR="00130A45" w:rsidRPr="00695797">
        <w:t xml:space="preserve">The interaction between the within and between </w:t>
      </w:r>
      <w:r w:rsidR="00143F74" w:rsidRPr="00695797">
        <w:t xml:space="preserve">group factors </w:t>
      </w:r>
      <w:r w:rsidR="00130A45" w:rsidRPr="00695797">
        <w:t xml:space="preserve">will achieve </w:t>
      </w:r>
      <w:r w:rsidR="00373DBE" w:rsidRPr="00695797">
        <w:t>76 – 82</w:t>
      </w:r>
      <w:r w:rsidR="00130A45" w:rsidRPr="00695797">
        <w:t>%</w:t>
      </w:r>
      <w:r w:rsidR="00130A45" w:rsidRPr="00695797">
        <w:rPr>
          <w:i/>
        </w:rPr>
        <w:t xml:space="preserve">. A Geisser-Greenhouse Corrected F Tests is assumed to be used. </w:t>
      </w:r>
      <w:r w:rsidR="009E38B4">
        <w:t xml:space="preserve">Therefore, </w:t>
      </w:r>
      <w:r w:rsidR="00130A45" w:rsidRPr="00695797">
        <w:t xml:space="preserve">effect sizes </w:t>
      </w:r>
      <w:r w:rsidR="009E38B4">
        <w:t xml:space="preserve">will be </w:t>
      </w:r>
      <w:r w:rsidR="00130A45" w:rsidRPr="00695797">
        <w:t>assumed</w:t>
      </w:r>
      <w:r w:rsidR="008110F6" w:rsidRPr="00695797">
        <w:t xml:space="preserve"> </w:t>
      </w:r>
      <w:r w:rsidR="009E38B4">
        <w:t>as</w:t>
      </w:r>
      <w:r w:rsidR="008110F6" w:rsidRPr="00695797">
        <w:t xml:space="preserve"> medium</w:t>
      </w:r>
      <w:r w:rsidR="00130A45" w:rsidRPr="00695797">
        <w:t xml:space="preserve"> according to Cohen’s guidelines. </w:t>
      </w:r>
    </w:p>
    <w:p w:rsidR="00587647" w:rsidRPr="00695797" w:rsidRDefault="005C246A" w:rsidP="00EF6924">
      <w:pPr>
        <w:pStyle w:val="PlainText"/>
        <w:spacing w:line="360" w:lineRule="auto"/>
        <w:rPr>
          <w:rFonts w:ascii="Times New Roman" w:hAnsi="Times New Roman"/>
          <w:sz w:val="32"/>
          <w:szCs w:val="20"/>
        </w:rPr>
      </w:pPr>
      <w:r w:rsidRPr="00695797">
        <w:rPr>
          <w:rFonts w:ascii="Times New Roman" w:hAnsi="Times New Roman"/>
          <w:b/>
          <w:sz w:val="24"/>
          <w:szCs w:val="22"/>
        </w:rPr>
        <w:t xml:space="preserve">Budget and Specific </w:t>
      </w:r>
      <w:r w:rsidR="009E6EC5" w:rsidRPr="00695797">
        <w:rPr>
          <w:rFonts w:ascii="Times New Roman" w:hAnsi="Times New Roman"/>
          <w:b/>
          <w:sz w:val="24"/>
          <w:szCs w:val="22"/>
        </w:rPr>
        <w:t>Roles of Investigators:</w:t>
      </w:r>
    </w:p>
    <w:p w:rsidR="009E6EC5" w:rsidRPr="00695797" w:rsidRDefault="009E6EC5" w:rsidP="00EF6924">
      <w:pPr>
        <w:numPr>
          <w:ilvl w:val="0"/>
          <w:numId w:val="9"/>
        </w:numPr>
        <w:spacing w:line="360" w:lineRule="auto"/>
        <w:ind w:left="0" w:firstLine="0"/>
        <w:jc w:val="both"/>
      </w:pPr>
      <w:r w:rsidRPr="00695797">
        <w:t xml:space="preserve">Dr. Gobert </w:t>
      </w:r>
      <w:r w:rsidR="005C246A" w:rsidRPr="00695797">
        <w:t xml:space="preserve">(30% effort) </w:t>
      </w:r>
      <w:r w:rsidRPr="00695797">
        <w:t>will coordinate participant assessment protocols</w:t>
      </w:r>
      <w:r w:rsidR="00C04F53" w:rsidRPr="00695797">
        <w:t xml:space="preserve"> and conduct student training </w:t>
      </w:r>
      <w:r w:rsidRPr="00695797">
        <w:t xml:space="preserve">along with the study design &amp; development, data collection &amp; interpretation, analysis, </w:t>
      </w:r>
      <w:r w:rsidR="00D6674C" w:rsidRPr="00695797">
        <w:t>&amp; reports</w:t>
      </w:r>
      <w:r w:rsidRPr="00695797">
        <w:t>.</w:t>
      </w:r>
    </w:p>
    <w:p w:rsidR="009E6EC5" w:rsidRPr="00695797" w:rsidRDefault="009E6EC5" w:rsidP="00EF6924">
      <w:pPr>
        <w:numPr>
          <w:ilvl w:val="0"/>
          <w:numId w:val="9"/>
        </w:numPr>
        <w:spacing w:line="360" w:lineRule="auto"/>
        <w:ind w:left="0" w:firstLine="0"/>
        <w:jc w:val="both"/>
      </w:pPr>
      <w:r w:rsidRPr="00695797">
        <w:t>Dr. Komogortsev</w:t>
      </w:r>
      <w:r w:rsidR="005C246A" w:rsidRPr="00695797">
        <w:t xml:space="preserve"> (30% effort) </w:t>
      </w:r>
      <w:r w:rsidRPr="00695797">
        <w:t>coordinate all eye-tracking monitoring and computer programming methodology</w:t>
      </w:r>
      <w:r w:rsidR="00C04F53" w:rsidRPr="00695797">
        <w:t xml:space="preserve"> and conduct student trainging</w:t>
      </w:r>
      <w:r w:rsidRPr="00695797">
        <w:t xml:space="preserve"> along with contributions to study, design &amp; development, data collection / analysis, and reports.</w:t>
      </w:r>
    </w:p>
    <w:p w:rsidR="00AE252D" w:rsidRPr="00695797" w:rsidRDefault="00C04F53" w:rsidP="00AE252D">
      <w:pPr>
        <w:numPr>
          <w:ilvl w:val="0"/>
          <w:numId w:val="9"/>
        </w:numPr>
        <w:spacing w:line="360" w:lineRule="auto"/>
        <w:ind w:left="0" w:firstLine="0"/>
        <w:jc w:val="both"/>
        <w:rPr>
          <w:szCs w:val="22"/>
        </w:rPr>
      </w:pPr>
      <w:r w:rsidRPr="00695797">
        <w:rPr>
          <w:szCs w:val="22"/>
        </w:rPr>
        <w:t>Two g</w:t>
      </w:r>
      <w:r w:rsidR="009E6EC5" w:rsidRPr="00695797">
        <w:rPr>
          <w:szCs w:val="22"/>
        </w:rPr>
        <w:t>raduate student assistants</w:t>
      </w:r>
      <w:r w:rsidRPr="00695797">
        <w:rPr>
          <w:szCs w:val="22"/>
        </w:rPr>
        <w:t xml:space="preserve"> (50% effort) will</w:t>
      </w:r>
      <w:r w:rsidR="009E6EC5" w:rsidRPr="00695797">
        <w:rPr>
          <w:szCs w:val="22"/>
        </w:rPr>
        <w:t xml:space="preserve"> receive specialized training to assist in </w:t>
      </w:r>
      <w:r w:rsidR="00815314" w:rsidRPr="00695797">
        <w:rPr>
          <w:szCs w:val="22"/>
        </w:rPr>
        <w:t xml:space="preserve">participant recruitment, </w:t>
      </w:r>
      <w:r w:rsidR="009E6EC5" w:rsidRPr="00695797">
        <w:rPr>
          <w:szCs w:val="22"/>
        </w:rPr>
        <w:t xml:space="preserve">development of the </w:t>
      </w:r>
      <w:r w:rsidR="001D4B79" w:rsidRPr="00695797">
        <w:rPr>
          <w:szCs w:val="22"/>
        </w:rPr>
        <w:t xml:space="preserve">eye-tracker </w:t>
      </w:r>
      <w:r w:rsidRPr="00695797">
        <w:rPr>
          <w:szCs w:val="22"/>
        </w:rPr>
        <w:t>programming</w:t>
      </w:r>
      <w:r w:rsidR="009E6EC5" w:rsidRPr="00695797">
        <w:rPr>
          <w:szCs w:val="22"/>
        </w:rPr>
        <w:t xml:space="preserve"> for </w:t>
      </w:r>
      <w:r w:rsidR="001D4B79" w:rsidRPr="00695797">
        <w:rPr>
          <w:szCs w:val="22"/>
        </w:rPr>
        <w:t xml:space="preserve">the </w:t>
      </w:r>
      <w:r w:rsidR="009E6EC5" w:rsidRPr="00695797">
        <w:rPr>
          <w:szCs w:val="22"/>
        </w:rPr>
        <w:lastRenderedPageBreak/>
        <w:t>stimulus presentation,</w:t>
      </w:r>
      <w:r w:rsidR="001D4B79" w:rsidRPr="00695797">
        <w:rPr>
          <w:szCs w:val="22"/>
        </w:rPr>
        <w:t xml:space="preserve"> </w:t>
      </w:r>
      <w:r w:rsidR="009E6EC5" w:rsidRPr="00695797">
        <w:rPr>
          <w:szCs w:val="22"/>
        </w:rPr>
        <w:t>raw eye position processing and data reduction, eye movement metric</w:t>
      </w:r>
      <w:r w:rsidR="001D4B79" w:rsidRPr="00695797">
        <w:rPr>
          <w:szCs w:val="22"/>
        </w:rPr>
        <w:t xml:space="preserve"> assessment algorithms </w:t>
      </w:r>
      <w:r w:rsidR="009E6EC5" w:rsidRPr="00695797">
        <w:rPr>
          <w:szCs w:val="22"/>
        </w:rPr>
        <w:t xml:space="preserve">and </w:t>
      </w:r>
      <w:r w:rsidR="001D4B79" w:rsidRPr="00695797">
        <w:rPr>
          <w:szCs w:val="22"/>
        </w:rPr>
        <w:t xml:space="preserve">data </w:t>
      </w:r>
      <w:r w:rsidR="00815314">
        <w:rPr>
          <w:szCs w:val="22"/>
        </w:rPr>
        <w:t>validation,</w:t>
      </w:r>
      <w:r w:rsidR="009E6EC5" w:rsidRPr="00695797">
        <w:rPr>
          <w:szCs w:val="22"/>
        </w:rPr>
        <w:t xml:space="preserve"> </w:t>
      </w:r>
      <w:r w:rsidR="001D4B79" w:rsidRPr="00695797">
        <w:rPr>
          <w:szCs w:val="22"/>
        </w:rPr>
        <w:t xml:space="preserve">assessment protocols and data </w:t>
      </w:r>
      <w:r w:rsidRPr="00695797">
        <w:rPr>
          <w:szCs w:val="22"/>
        </w:rPr>
        <w:t>analysis</w:t>
      </w:r>
      <w:r w:rsidR="009E6EC5" w:rsidRPr="00695797">
        <w:rPr>
          <w:szCs w:val="22"/>
        </w:rPr>
        <w:t>.</w:t>
      </w:r>
    </w:p>
    <w:p w:rsidR="00E420E5" w:rsidRPr="00192EA5" w:rsidRDefault="00F07846" w:rsidP="00192EA5">
      <w:pPr>
        <w:pStyle w:val="Footer"/>
        <w:spacing w:line="360" w:lineRule="auto"/>
        <w:ind w:left="360"/>
        <w:rPr>
          <w:szCs w:val="22"/>
          <w:u w:val="single"/>
        </w:rPr>
      </w:pPr>
      <w:r w:rsidRPr="00695797">
        <w:rPr>
          <w:szCs w:val="22"/>
        </w:rPr>
        <w:tab/>
      </w:r>
    </w:p>
    <w:p w:rsidR="00815314" w:rsidRPr="00695797" w:rsidRDefault="00601771" w:rsidP="00815314">
      <w:pPr>
        <w:pStyle w:val="Heading8"/>
        <w:spacing w:line="360" w:lineRule="auto"/>
        <w:jc w:val="both"/>
        <w:rPr>
          <w:szCs w:val="22"/>
        </w:rPr>
      </w:pPr>
      <w:r>
        <w:rPr>
          <w:szCs w:val="22"/>
        </w:rPr>
        <w:t>CONCLUSION</w:t>
      </w:r>
    </w:p>
    <w:p w:rsidR="00815314" w:rsidRPr="00192EA5" w:rsidRDefault="00815314" w:rsidP="00192EA5">
      <w:pPr>
        <w:pStyle w:val="Footer"/>
        <w:spacing w:line="360" w:lineRule="auto"/>
        <w:ind w:firstLine="720"/>
        <w:jc w:val="both"/>
        <w:rPr>
          <w:szCs w:val="22"/>
        </w:rPr>
      </w:pPr>
      <w:r w:rsidRPr="00695797">
        <w:rPr>
          <w:szCs w:val="22"/>
        </w:rPr>
        <w:t xml:space="preserve">The primary goal of this </w:t>
      </w:r>
      <w:r w:rsidR="009E38B4" w:rsidRPr="00695797">
        <w:rPr>
          <w:szCs w:val="22"/>
        </w:rPr>
        <w:t>one-year</w:t>
      </w:r>
      <w:r w:rsidRPr="00695797">
        <w:rPr>
          <w:szCs w:val="22"/>
        </w:rPr>
        <w:t xml:space="preserve"> study will be </w:t>
      </w:r>
      <w:r w:rsidR="009E38B4">
        <w:rPr>
          <w:szCs w:val="22"/>
        </w:rPr>
        <w:t xml:space="preserve">to </w:t>
      </w:r>
      <w:r w:rsidR="00601771">
        <w:rPr>
          <w:szCs w:val="22"/>
        </w:rPr>
        <w:t>develop</w:t>
      </w:r>
      <w:r w:rsidRPr="00695797">
        <w:rPr>
          <w:szCs w:val="22"/>
        </w:rPr>
        <w:t xml:space="preserve"> a reliable assessment </w:t>
      </w:r>
      <w:r w:rsidR="00601771">
        <w:rPr>
          <w:szCs w:val="22"/>
        </w:rPr>
        <w:t>battery for</w:t>
      </w:r>
      <w:r w:rsidRPr="00695797">
        <w:rPr>
          <w:szCs w:val="22"/>
        </w:rPr>
        <w:t xml:space="preserve"> oculomotor function in persons with mTBI and </w:t>
      </w:r>
      <w:r w:rsidR="00601771">
        <w:rPr>
          <w:szCs w:val="22"/>
        </w:rPr>
        <w:t xml:space="preserve">to </w:t>
      </w:r>
      <w:r w:rsidRPr="00695797">
        <w:rPr>
          <w:szCs w:val="22"/>
        </w:rPr>
        <w:t>explore response</w:t>
      </w:r>
      <w:r w:rsidR="009E38B4">
        <w:rPr>
          <w:szCs w:val="22"/>
        </w:rPr>
        <w:t>s</w:t>
      </w:r>
      <w:r w:rsidRPr="00695797">
        <w:rPr>
          <w:szCs w:val="22"/>
        </w:rPr>
        <w:t xml:space="preserve"> to repeated exposure of our computerized protocols.  </w:t>
      </w:r>
      <w:r w:rsidR="00601771">
        <w:rPr>
          <w:szCs w:val="22"/>
        </w:rPr>
        <w:t>Therefore, o</w:t>
      </w:r>
      <w:r w:rsidR="00601771" w:rsidRPr="00695797">
        <w:rPr>
          <w:szCs w:val="22"/>
        </w:rPr>
        <w:t xml:space="preserve">ur project proposes a systematic assessment of oculomotor function to characterize and detect specific </w:t>
      </w:r>
      <w:r w:rsidR="00601771">
        <w:rPr>
          <w:szCs w:val="22"/>
        </w:rPr>
        <w:t>components</w:t>
      </w:r>
      <w:r w:rsidR="00601771" w:rsidRPr="00695797">
        <w:rPr>
          <w:szCs w:val="22"/>
        </w:rPr>
        <w:t xml:space="preserve"> over time. </w:t>
      </w:r>
      <w:r w:rsidRPr="00695797">
        <w:rPr>
          <w:szCs w:val="22"/>
        </w:rPr>
        <w:t xml:space="preserve">Results will </w:t>
      </w:r>
      <w:r w:rsidR="00601771">
        <w:rPr>
          <w:szCs w:val="22"/>
        </w:rPr>
        <w:t xml:space="preserve">also </w:t>
      </w:r>
      <w:r w:rsidRPr="00695797">
        <w:rPr>
          <w:szCs w:val="22"/>
        </w:rPr>
        <w:t>be used as the basis for subsequent, therapeutic oculomotor training for persons with mTBI. Therefore, this proposed project describes a unique approach to augment and support rehabilitation strategies for persons with mTBI.</w:t>
      </w:r>
    </w:p>
    <w:p w:rsidR="00815314" w:rsidRPr="00695797" w:rsidRDefault="00815314" w:rsidP="00192EA5">
      <w:pPr>
        <w:pStyle w:val="Footer"/>
        <w:jc w:val="center"/>
        <w:rPr>
          <w:b/>
          <w:szCs w:val="22"/>
        </w:rPr>
      </w:pPr>
      <w:r w:rsidRPr="00695797">
        <w:rPr>
          <w:b/>
          <w:szCs w:val="22"/>
        </w:rPr>
        <w:t>References:</w:t>
      </w:r>
    </w:p>
    <w:p w:rsidR="00815314" w:rsidRPr="00695797" w:rsidRDefault="00815314" w:rsidP="00815314">
      <w:pPr>
        <w:numPr>
          <w:ilvl w:val="0"/>
          <w:numId w:val="26"/>
        </w:numPr>
        <w:spacing w:before="120"/>
        <w:rPr>
          <w:color w:val="000000"/>
          <w:szCs w:val="20"/>
        </w:rPr>
      </w:pPr>
      <w:r w:rsidRPr="00695797">
        <w:rPr>
          <w:color w:val="000000"/>
          <w:szCs w:val="20"/>
        </w:rPr>
        <w:t xml:space="preserve">Bryant, D. Disentangling Mild Traumatic Brain Injury and Stress Reactions, NEJM, (2008),Vol(5)358:525-527. </w:t>
      </w:r>
    </w:p>
    <w:p w:rsidR="00815314" w:rsidRPr="00695797" w:rsidRDefault="00815314" w:rsidP="00815314">
      <w:pPr>
        <w:pStyle w:val="PlainText"/>
        <w:numPr>
          <w:ilvl w:val="0"/>
          <w:numId w:val="26"/>
        </w:numPr>
        <w:spacing w:before="120"/>
        <w:rPr>
          <w:rFonts w:ascii="Times New Roman" w:hAnsi="Times New Roman"/>
          <w:sz w:val="24"/>
          <w:szCs w:val="20"/>
        </w:rPr>
      </w:pPr>
      <w:r w:rsidRPr="00695797">
        <w:rPr>
          <w:rFonts w:ascii="Times New Roman" w:eastAsia="Times New Roman" w:hAnsi="Times New Roman"/>
          <w:sz w:val="24"/>
          <w:szCs w:val="20"/>
        </w:rPr>
        <w:t xml:space="preserve">Cicerone KD. Neurobehavior Symptom Inventory, J Head Tr Rehabilitation. 1995: 10 (3): 1-17. </w:t>
      </w:r>
    </w:p>
    <w:p w:rsidR="00815314" w:rsidRPr="00695797" w:rsidRDefault="00815314" w:rsidP="00815314">
      <w:pPr>
        <w:numPr>
          <w:ilvl w:val="0"/>
          <w:numId w:val="26"/>
        </w:numPr>
        <w:spacing w:before="120"/>
        <w:rPr>
          <w:color w:val="000000"/>
          <w:szCs w:val="20"/>
        </w:rPr>
      </w:pPr>
      <w:r w:rsidRPr="00695797">
        <w:rPr>
          <w:color w:val="000000"/>
          <w:szCs w:val="20"/>
        </w:rPr>
        <w:t>Hoge CW., et al, Mild Traumatic Brain Injury in U.S. Soldiers Returning from Iraq, NEJM,(2008),Vol(5) 358:453-463.</w:t>
      </w:r>
      <w:r w:rsidRPr="00695797">
        <w:rPr>
          <w:color w:val="000000"/>
          <w:szCs w:val="20"/>
        </w:rPr>
        <w:tab/>
        <w:t xml:space="preserve"> </w:t>
      </w:r>
    </w:p>
    <w:p w:rsidR="00815314" w:rsidRPr="00695797" w:rsidRDefault="00815314" w:rsidP="00815314">
      <w:pPr>
        <w:pStyle w:val="Default"/>
        <w:numPr>
          <w:ilvl w:val="0"/>
          <w:numId w:val="26"/>
        </w:numPr>
        <w:spacing w:before="120"/>
        <w:rPr>
          <w:rFonts w:ascii="Times New Roman" w:hAnsi="Times New Roman" w:cs="Times New Roman"/>
          <w:szCs w:val="20"/>
        </w:rPr>
      </w:pPr>
      <w:r w:rsidRPr="00695797">
        <w:rPr>
          <w:rFonts w:ascii="Times New Roman" w:hAnsi="Times New Roman" w:cs="Times New Roman"/>
          <w:szCs w:val="20"/>
        </w:rPr>
        <w:t xml:space="preserve">Jacobson  et al. The development of the Dizziness Handicap Inventory. </w:t>
      </w:r>
      <w:r w:rsidRPr="00695797">
        <w:rPr>
          <w:rFonts w:ascii="Times New Roman" w:hAnsi="Times New Roman" w:cs="Times New Roman"/>
          <w:i/>
          <w:iCs/>
          <w:szCs w:val="20"/>
        </w:rPr>
        <w:t>Arch OtolaryngolHead Neck Surg</w:t>
      </w:r>
      <w:r w:rsidRPr="00695797">
        <w:rPr>
          <w:rFonts w:ascii="Times New Roman" w:hAnsi="Times New Roman" w:cs="Times New Roman"/>
          <w:szCs w:val="20"/>
        </w:rPr>
        <w:t xml:space="preserve">1990:Vol. 116 No. 4, April 1990 </w:t>
      </w:r>
    </w:p>
    <w:p w:rsidR="00815314" w:rsidRPr="00695797" w:rsidRDefault="00815314" w:rsidP="00815314">
      <w:pPr>
        <w:pStyle w:val="PlainText"/>
        <w:numPr>
          <w:ilvl w:val="0"/>
          <w:numId w:val="26"/>
        </w:numPr>
        <w:spacing w:before="120"/>
        <w:rPr>
          <w:rFonts w:ascii="Times New Roman" w:hAnsi="Times New Roman"/>
          <w:sz w:val="24"/>
          <w:szCs w:val="20"/>
        </w:rPr>
      </w:pPr>
      <w:r w:rsidRPr="00695797">
        <w:rPr>
          <w:rFonts w:ascii="Times New Roman" w:eastAsia="Times New Roman" w:hAnsi="Times New Roman"/>
          <w:sz w:val="24"/>
          <w:szCs w:val="20"/>
        </w:rPr>
        <w:t>Kapoor et al. “Oculomotor rehabilitation in acquired brain injury: A case series”, Archives of Physical Medicine and Rehabilitation, Vol 85, (10), October 2004, Pages 1667-1678</w:t>
      </w:r>
    </w:p>
    <w:p w:rsidR="00815314" w:rsidRPr="00695797" w:rsidRDefault="00815314" w:rsidP="00815314">
      <w:pPr>
        <w:numPr>
          <w:ilvl w:val="0"/>
          <w:numId w:val="26"/>
        </w:numPr>
        <w:spacing w:before="120"/>
        <w:rPr>
          <w:szCs w:val="20"/>
        </w:rPr>
      </w:pPr>
      <w:r w:rsidRPr="00695797">
        <w:rPr>
          <w:szCs w:val="20"/>
        </w:rPr>
        <w:t xml:space="preserve">Leigh, R. J. and D. S. Zee (2006). </w:t>
      </w:r>
      <w:r w:rsidRPr="00695797">
        <w:rPr>
          <w:szCs w:val="20"/>
          <w:u w:val="single"/>
        </w:rPr>
        <w:t>The Neurology of Eye Movements</w:t>
      </w:r>
      <w:r w:rsidRPr="00695797">
        <w:rPr>
          <w:szCs w:val="20"/>
        </w:rPr>
        <w:t>, Oxford University Press.</w:t>
      </w:r>
    </w:p>
    <w:p w:rsidR="00815314" w:rsidRPr="00695797" w:rsidRDefault="00815314" w:rsidP="00815314">
      <w:pPr>
        <w:pStyle w:val="PlainText"/>
        <w:numPr>
          <w:ilvl w:val="0"/>
          <w:numId w:val="26"/>
        </w:numPr>
        <w:spacing w:before="120"/>
        <w:rPr>
          <w:rFonts w:ascii="Times New Roman" w:hAnsi="Times New Roman"/>
          <w:sz w:val="24"/>
          <w:szCs w:val="20"/>
        </w:rPr>
      </w:pPr>
      <w:r w:rsidRPr="00695797">
        <w:rPr>
          <w:rFonts w:ascii="Times New Roman" w:hAnsi="Times New Roman"/>
          <w:sz w:val="24"/>
          <w:szCs w:val="20"/>
        </w:rPr>
        <w:t>Marzo, S et al. (2004). Diagnosis and management of post traumatic vertigo. Laryngoscope, 114(10)(October), 1720-1723.</w:t>
      </w:r>
    </w:p>
    <w:p w:rsidR="00815314" w:rsidRPr="00695797" w:rsidRDefault="00815314" w:rsidP="00815314">
      <w:pPr>
        <w:pStyle w:val="PlainText"/>
        <w:numPr>
          <w:ilvl w:val="0"/>
          <w:numId w:val="26"/>
        </w:numPr>
        <w:spacing w:before="120"/>
        <w:rPr>
          <w:rFonts w:ascii="Times New Roman" w:hAnsi="Times New Roman"/>
          <w:sz w:val="24"/>
          <w:szCs w:val="20"/>
        </w:rPr>
      </w:pPr>
      <w:r w:rsidRPr="00695797">
        <w:rPr>
          <w:rFonts w:ascii="Times New Roman" w:hAnsi="Times New Roman"/>
          <w:sz w:val="24"/>
          <w:szCs w:val="20"/>
        </w:rPr>
        <w:t>Ponsford JL et al. (2008). Gender differences in outcome in patients with hypotension and severe traumatic brain injury. Injury, Int. J. Care Injured, 39, 67—76.</w:t>
      </w:r>
    </w:p>
    <w:p w:rsidR="00D6674C" w:rsidRPr="00B91BB8" w:rsidRDefault="00D6674C" w:rsidP="00AE252D">
      <w:pPr>
        <w:ind w:left="360"/>
        <w:jc w:val="both"/>
        <w:rPr>
          <w:i/>
        </w:rPr>
      </w:pPr>
    </w:p>
    <w:sectPr w:rsidR="00D6674C" w:rsidRPr="00B91BB8" w:rsidSect="00357112">
      <w:headerReference w:type="default" r:id="rId11"/>
      <w:pgSz w:w="12240" w:h="15840"/>
      <w:pgMar w:top="1440" w:right="1800" w:bottom="135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F02" w:rsidRDefault="00647F02" w:rsidP="00A67418">
      <w:r>
        <w:separator/>
      </w:r>
    </w:p>
  </w:endnote>
  <w:endnote w:type="continuationSeparator" w:id="0">
    <w:p w:rsidR="00647F02" w:rsidRDefault="00647F02" w:rsidP="00A67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F02" w:rsidRDefault="00647F02" w:rsidP="00A67418">
      <w:r>
        <w:separator/>
      </w:r>
    </w:p>
  </w:footnote>
  <w:footnote w:type="continuationSeparator" w:id="0">
    <w:p w:rsidR="00647F02" w:rsidRDefault="00647F02" w:rsidP="00A674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957" w:rsidRPr="00B91ECC" w:rsidRDefault="00046957">
    <w:pPr>
      <w:pStyle w:val="Header"/>
      <w:rPr>
        <w:sz w:val="20"/>
      </w:rPr>
    </w:pPr>
    <w:r w:rsidRPr="00B91ECC">
      <w:rPr>
        <w:sz w:val="20"/>
      </w:rPr>
      <w:t>Computer Assessment Oculomotor Function</w:t>
    </w:r>
    <w:r>
      <w:rPr>
        <w:sz w:val="20"/>
      </w:rPr>
      <w:t xml:space="preserve"> in mTBI</w:t>
    </w:r>
  </w:p>
  <w:p w:rsidR="00046957" w:rsidRPr="00B91ECC" w:rsidRDefault="00046957">
    <w:pPr>
      <w:pStyle w:val="Header"/>
      <w:rPr>
        <w:sz w:val="20"/>
      </w:rPr>
    </w:pPr>
    <w:r w:rsidRPr="00B91ECC">
      <w:rPr>
        <w:sz w:val="20"/>
      </w:rPr>
      <w:t>REP- Gobert-2009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4B3C"/>
    <w:multiLevelType w:val="hybridMultilevel"/>
    <w:tmpl w:val="1BEE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C099D"/>
    <w:multiLevelType w:val="hybridMultilevel"/>
    <w:tmpl w:val="9780A5D8"/>
    <w:lvl w:ilvl="0" w:tplc="977007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622084"/>
    <w:multiLevelType w:val="hybridMultilevel"/>
    <w:tmpl w:val="2B7462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965B4E"/>
    <w:multiLevelType w:val="hybridMultilevel"/>
    <w:tmpl w:val="050051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EA541D"/>
    <w:multiLevelType w:val="hybridMultilevel"/>
    <w:tmpl w:val="233C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779BD"/>
    <w:multiLevelType w:val="hybridMultilevel"/>
    <w:tmpl w:val="56F09E10"/>
    <w:lvl w:ilvl="0" w:tplc="55A64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6444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04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F6C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209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70D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D07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624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86D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F7169C3"/>
    <w:multiLevelType w:val="hybridMultilevel"/>
    <w:tmpl w:val="8D4C39EC"/>
    <w:lvl w:ilvl="0" w:tplc="480E9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5A721E"/>
    <w:multiLevelType w:val="hybridMultilevel"/>
    <w:tmpl w:val="82D0C8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5E5711"/>
    <w:multiLevelType w:val="hybridMultilevel"/>
    <w:tmpl w:val="C5409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BA12A9"/>
    <w:multiLevelType w:val="hybridMultilevel"/>
    <w:tmpl w:val="195AD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1D4E5B"/>
    <w:multiLevelType w:val="hybridMultilevel"/>
    <w:tmpl w:val="44A85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6E0264"/>
    <w:multiLevelType w:val="hybridMultilevel"/>
    <w:tmpl w:val="51B4E6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5906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051C97"/>
    <w:multiLevelType w:val="hybridMultilevel"/>
    <w:tmpl w:val="FF60B416"/>
    <w:lvl w:ilvl="0" w:tplc="2D2A058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2222E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EEADA4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00524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E4EC0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6EE16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0A65B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F6458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4E69A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42FA2EB2"/>
    <w:multiLevelType w:val="hybridMultilevel"/>
    <w:tmpl w:val="779C399C"/>
    <w:lvl w:ilvl="0" w:tplc="0C185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4AA784A"/>
    <w:multiLevelType w:val="hybridMultilevel"/>
    <w:tmpl w:val="D2F221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A6C4E26"/>
    <w:multiLevelType w:val="hybridMultilevel"/>
    <w:tmpl w:val="8138CD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E067190"/>
    <w:multiLevelType w:val="hybridMultilevel"/>
    <w:tmpl w:val="E1E22F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1223DEF"/>
    <w:multiLevelType w:val="hybridMultilevel"/>
    <w:tmpl w:val="BDDC54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25968FE"/>
    <w:multiLevelType w:val="hybridMultilevel"/>
    <w:tmpl w:val="741E0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82F31"/>
    <w:multiLevelType w:val="hybridMultilevel"/>
    <w:tmpl w:val="88662074"/>
    <w:lvl w:ilvl="0" w:tplc="9E1645CE">
      <w:start w:val="1"/>
      <w:numFmt w:val="decimal"/>
      <w:lvlText w:val="%1."/>
      <w:lvlJc w:val="left"/>
      <w:pPr>
        <w:ind w:left="45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5A577EB5"/>
    <w:multiLevelType w:val="hybridMultilevel"/>
    <w:tmpl w:val="BD68E058"/>
    <w:lvl w:ilvl="0" w:tplc="9E1645C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DEE4B85"/>
    <w:multiLevelType w:val="hybridMultilevel"/>
    <w:tmpl w:val="037E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6D2942"/>
    <w:multiLevelType w:val="hybridMultilevel"/>
    <w:tmpl w:val="1C64AF10"/>
    <w:lvl w:ilvl="0" w:tplc="7FCE9B5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D23C0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F70A00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2484C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0C22B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060AD5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84E87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B47C5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485E7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6FDF0B1F"/>
    <w:multiLevelType w:val="hybridMultilevel"/>
    <w:tmpl w:val="46B87BE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0814A9D"/>
    <w:multiLevelType w:val="hybridMultilevel"/>
    <w:tmpl w:val="3C68D7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8D23C02" w:tentative="1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6F70A00A" w:tentative="1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262484CA" w:tentative="1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D30C22B8" w:tentative="1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6060AD58" w:tentative="1">
      <w:start w:val="1"/>
      <w:numFmt w:val="bullet"/>
      <w:lvlText w:val="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7384E872" w:tentative="1">
      <w:start w:val="1"/>
      <w:numFmt w:val="bullet"/>
      <w:lvlText w:val="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16B47C58" w:tentative="1">
      <w:start w:val="1"/>
      <w:numFmt w:val="bullet"/>
      <w:lvlText w:val="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CC485E72" w:tentative="1">
      <w:start w:val="1"/>
      <w:numFmt w:val="bullet"/>
      <w:lvlText w:val="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6">
    <w:nsid w:val="7657461D"/>
    <w:multiLevelType w:val="hybridMultilevel"/>
    <w:tmpl w:val="AE9876E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8"/>
  </w:num>
  <w:num w:numId="3">
    <w:abstractNumId w:val="15"/>
  </w:num>
  <w:num w:numId="4">
    <w:abstractNumId w:val="3"/>
  </w:num>
  <w:num w:numId="5">
    <w:abstractNumId w:val="7"/>
  </w:num>
  <w:num w:numId="6">
    <w:abstractNumId w:val="1"/>
  </w:num>
  <w:num w:numId="7">
    <w:abstractNumId w:val="14"/>
  </w:num>
  <w:num w:numId="8">
    <w:abstractNumId w:val="11"/>
  </w:num>
  <w:num w:numId="9">
    <w:abstractNumId w:val="19"/>
  </w:num>
  <w:num w:numId="10">
    <w:abstractNumId w:val="10"/>
  </w:num>
  <w:num w:numId="11">
    <w:abstractNumId w:val="24"/>
  </w:num>
  <w:num w:numId="12">
    <w:abstractNumId w:val="5"/>
  </w:num>
  <w:num w:numId="13">
    <w:abstractNumId w:val="26"/>
  </w:num>
  <w:num w:numId="14">
    <w:abstractNumId w:val="22"/>
  </w:num>
  <w:num w:numId="15">
    <w:abstractNumId w:val="4"/>
  </w:num>
  <w:num w:numId="16">
    <w:abstractNumId w:val="20"/>
  </w:num>
  <w:num w:numId="17">
    <w:abstractNumId w:val="12"/>
  </w:num>
  <w:num w:numId="18">
    <w:abstractNumId w:val="8"/>
  </w:num>
  <w:num w:numId="19">
    <w:abstractNumId w:val="16"/>
  </w:num>
  <w:num w:numId="20">
    <w:abstractNumId w:val="2"/>
  </w:num>
  <w:num w:numId="21">
    <w:abstractNumId w:val="6"/>
  </w:num>
  <w:num w:numId="22">
    <w:abstractNumId w:val="13"/>
  </w:num>
  <w:num w:numId="23">
    <w:abstractNumId w:val="23"/>
  </w:num>
  <w:num w:numId="24">
    <w:abstractNumId w:val="25"/>
  </w:num>
  <w:num w:numId="25">
    <w:abstractNumId w:val="9"/>
  </w:num>
  <w:num w:numId="26">
    <w:abstractNumId w:val="21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0DF4"/>
    <w:rsid w:val="00001971"/>
    <w:rsid w:val="0001468D"/>
    <w:rsid w:val="00017A16"/>
    <w:rsid w:val="000221B6"/>
    <w:rsid w:val="000359D8"/>
    <w:rsid w:val="00046957"/>
    <w:rsid w:val="000479EA"/>
    <w:rsid w:val="000529CF"/>
    <w:rsid w:val="00053693"/>
    <w:rsid w:val="000728B9"/>
    <w:rsid w:val="000839E4"/>
    <w:rsid w:val="00094FCC"/>
    <w:rsid w:val="000963BD"/>
    <w:rsid w:val="000A3AC7"/>
    <w:rsid w:val="000A5353"/>
    <w:rsid w:val="000B28BA"/>
    <w:rsid w:val="000B2D77"/>
    <w:rsid w:val="000B5181"/>
    <w:rsid w:val="000C1A13"/>
    <w:rsid w:val="000E669F"/>
    <w:rsid w:val="000E6F61"/>
    <w:rsid w:val="000F1984"/>
    <w:rsid w:val="000F6C32"/>
    <w:rsid w:val="000F7D9B"/>
    <w:rsid w:val="00130A45"/>
    <w:rsid w:val="00131667"/>
    <w:rsid w:val="001331A8"/>
    <w:rsid w:val="001403C4"/>
    <w:rsid w:val="0014225A"/>
    <w:rsid w:val="00143F74"/>
    <w:rsid w:val="00147F7A"/>
    <w:rsid w:val="00151E92"/>
    <w:rsid w:val="00170137"/>
    <w:rsid w:val="00181AB8"/>
    <w:rsid w:val="00187B40"/>
    <w:rsid w:val="00192EA5"/>
    <w:rsid w:val="00195C1B"/>
    <w:rsid w:val="001B75CA"/>
    <w:rsid w:val="001C0612"/>
    <w:rsid w:val="001C1E01"/>
    <w:rsid w:val="001D4B79"/>
    <w:rsid w:val="001E3EEE"/>
    <w:rsid w:val="001F3C66"/>
    <w:rsid w:val="002029B6"/>
    <w:rsid w:val="00204FFA"/>
    <w:rsid w:val="00210C3F"/>
    <w:rsid w:val="00236297"/>
    <w:rsid w:val="00237556"/>
    <w:rsid w:val="00237F45"/>
    <w:rsid w:val="00250E54"/>
    <w:rsid w:val="002539CA"/>
    <w:rsid w:val="00260A72"/>
    <w:rsid w:val="00264C45"/>
    <w:rsid w:val="002666AA"/>
    <w:rsid w:val="002675D1"/>
    <w:rsid w:val="00267814"/>
    <w:rsid w:val="002704D4"/>
    <w:rsid w:val="002745DB"/>
    <w:rsid w:val="002A317A"/>
    <w:rsid w:val="002A47CE"/>
    <w:rsid w:val="002B037A"/>
    <w:rsid w:val="002B2834"/>
    <w:rsid w:val="002B55D4"/>
    <w:rsid w:val="002C258F"/>
    <w:rsid w:val="002D02FF"/>
    <w:rsid w:val="002D25E9"/>
    <w:rsid w:val="002D3852"/>
    <w:rsid w:val="002D4432"/>
    <w:rsid w:val="002D755A"/>
    <w:rsid w:val="002E13C6"/>
    <w:rsid w:val="002E45AC"/>
    <w:rsid w:val="002E4D81"/>
    <w:rsid w:val="002F3ACB"/>
    <w:rsid w:val="002F3B91"/>
    <w:rsid w:val="002F615F"/>
    <w:rsid w:val="00317188"/>
    <w:rsid w:val="00323828"/>
    <w:rsid w:val="00332679"/>
    <w:rsid w:val="00337F54"/>
    <w:rsid w:val="00347515"/>
    <w:rsid w:val="00347523"/>
    <w:rsid w:val="00357112"/>
    <w:rsid w:val="00373DBE"/>
    <w:rsid w:val="00374BA1"/>
    <w:rsid w:val="00376DF1"/>
    <w:rsid w:val="00382634"/>
    <w:rsid w:val="00385A97"/>
    <w:rsid w:val="00387A00"/>
    <w:rsid w:val="0039059C"/>
    <w:rsid w:val="00393963"/>
    <w:rsid w:val="003A3F95"/>
    <w:rsid w:val="003A4000"/>
    <w:rsid w:val="003A5855"/>
    <w:rsid w:val="003A747A"/>
    <w:rsid w:val="003B23BA"/>
    <w:rsid w:val="003C4A9F"/>
    <w:rsid w:val="003C78A9"/>
    <w:rsid w:val="003D50CA"/>
    <w:rsid w:val="003D7BBA"/>
    <w:rsid w:val="003E16E0"/>
    <w:rsid w:val="003E1E48"/>
    <w:rsid w:val="003E27F8"/>
    <w:rsid w:val="003E5BBD"/>
    <w:rsid w:val="00400065"/>
    <w:rsid w:val="004032A3"/>
    <w:rsid w:val="00410C51"/>
    <w:rsid w:val="00422646"/>
    <w:rsid w:val="00427FA5"/>
    <w:rsid w:val="00431FB3"/>
    <w:rsid w:val="0044732B"/>
    <w:rsid w:val="0045735E"/>
    <w:rsid w:val="0046105A"/>
    <w:rsid w:val="0046404F"/>
    <w:rsid w:val="00464BD5"/>
    <w:rsid w:val="00476778"/>
    <w:rsid w:val="0047703B"/>
    <w:rsid w:val="00480976"/>
    <w:rsid w:val="004824BE"/>
    <w:rsid w:val="004A2CCE"/>
    <w:rsid w:val="004B3FB4"/>
    <w:rsid w:val="004B49E3"/>
    <w:rsid w:val="004B577B"/>
    <w:rsid w:val="004B6040"/>
    <w:rsid w:val="004C7922"/>
    <w:rsid w:val="004D09E3"/>
    <w:rsid w:val="004D2EDD"/>
    <w:rsid w:val="004E7CB3"/>
    <w:rsid w:val="004F1E5F"/>
    <w:rsid w:val="004F3BF8"/>
    <w:rsid w:val="005014C4"/>
    <w:rsid w:val="00507214"/>
    <w:rsid w:val="0051549C"/>
    <w:rsid w:val="00515D5A"/>
    <w:rsid w:val="005218F4"/>
    <w:rsid w:val="00521E1E"/>
    <w:rsid w:val="005255A6"/>
    <w:rsid w:val="00530F52"/>
    <w:rsid w:val="0053146B"/>
    <w:rsid w:val="005327A7"/>
    <w:rsid w:val="0054274B"/>
    <w:rsid w:val="00544241"/>
    <w:rsid w:val="00551607"/>
    <w:rsid w:val="0056277B"/>
    <w:rsid w:val="0057218D"/>
    <w:rsid w:val="00580609"/>
    <w:rsid w:val="00587647"/>
    <w:rsid w:val="005A6BDF"/>
    <w:rsid w:val="005B2BD5"/>
    <w:rsid w:val="005B7904"/>
    <w:rsid w:val="005C246A"/>
    <w:rsid w:val="005C319A"/>
    <w:rsid w:val="005D0232"/>
    <w:rsid w:val="005D4594"/>
    <w:rsid w:val="005D5B33"/>
    <w:rsid w:val="005E3D11"/>
    <w:rsid w:val="005E5697"/>
    <w:rsid w:val="005F0A1F"/>
    <w:rsid w:val="005F228A"/>
    <w:rsid w:val="00601771"/>
    <w:rsid w:val="006108B8"/>
    <w:rsid w:val="00620050"/>
    <w:rsid w:val="006261E9"/>
    <w:rsid w:val="006478AC"/>
    <w:rsid w:val="00647F02"/>
    <w:rsid w:val="00660693"/>
    <w:rsid w:val="00660A9D"/>
    <w:rsid w:val="00672514"/>
    <w:rsid w:val="00676946"/>
    <w:rsid w:val="006771F5"/>
    <w:rsid w:val="00677770"/>
    <w:rsid w:val="00677802"/>
    <w:rsid w:val="00691445"/>
    <w:rsid w:val="00695797"/>
    <w:rsid w:val="006A1638"/>
    <w:rsid w:val="006A50C3"/>
    <w:rsid w:val="006B733E"/>
    <w:rsid w:val="006C5C7A"/>
    <w:rsid w:val="006C7BFB"/>
    <w:rsid w:val="006D63E0"/>
    <w:rsid w:val="006E62A3"/>
    <w:rsid w:val="006E7278"/>
    <w:rsid w:val="006F2276"/>
    <w:rsid w:val="007244C0"/>
    <w:rsid w:val="00760053"/>
    <w:rsid w:val="007624E1"/>
    <w:rsid w:val="007A271E"/>
    <w:rsid w:val="007B181E"/>
    <w:rsid w:val="007B516D"/>
    <w:rsid w:val="007B5D67"/>
    <w:rsid w:val="007C0890"/>
    <w:rsid w:val="007E2A1E"/>
    <w:rsid w:val="007F6972"/>
    <w:rsid w:val="00810DF4"/>
    <w:rsid w:val="008110F6"/>
    <w:rsid w:val="008122B0"/>
    <w:rsid w:val="00815314"/>
    <w:rsid w:val="00816B97"/>
    <w:rsid w:val="00823812"/>
    <w:rsid w:val="00825A86"/>
    <w:rsid w:val="00834D06"/>
    <w:rsid w:val="008460DC"/>
    <w:rsid w:val="00851D82"/>
    <w:rsid w:val="00862AC3"/>
    <w:rsid w:val="00867C31"/>
    <w:rsid w:val="008715AC"/>
    <w:rsid w:val="0089105D"/>
    <w:rsid w:val="00893413"/>
    <w:rsid w:val="008943E0"/>
    <w:rsid w:val="008A1200"/>
    <w:rsid w:val="008A2929"/>
    <w:rsid w:val="008A507D"/>
    <w:rsid w:val="008A7B7A"/>
    <w:rsid w:val="008B218E"/>
    <w:rsid w:val="008C0120"/>
    <w:rsid w:val="008C2767"/>
    <w:rsid w:val="008D3B07"/>
    <w:rsid w:val="008F43A4"/>
    <w:rsid w:val="00901724"/>
    <w:rsid w:val="00903A51"/>
    <w:rsid w:val="00904D11"/>
    <w:rsid w:val="00907434"/>
    <w:rsid w:val="009077F4"/>
    <w:rsid w:val="00923434"/>
    <w:rsid w:val="00927EAB"/>
    <w:rsid w:val="00930644"/>
    <w:rsid w:val="00942CA8"/>
    <w:rsid w:val="00947F23"/>
    <w:rsid w:val="009511B4"/>
    <w:rsid w:val="00966B31"/>
    <w:rsid w:val="00974EC5"/>
    <w:rsid w:val="00981F04"/>
    <w:rsid w:val="00986069"/>
    <w:rsid w:val="009A1C33"/>
    <w:rsid w:val="009A34A8"/>
    <w:rsid w:val="009A3BD0"/>
    <w:rsid w:val="009C50EA"/>
    <w:rsid w:val="009D269E"/>
    <w:rsid w:val="009E3625"/>
    <w:rsid w:val="009E38B4"/>
    <w:rsid w:val="009E527D"/>
    <w:rsid w:val="009E5BCE"/>
    <w:rsid w:val="009E6EC5"/>
    <w:rsid w:val="009E7ACE"/>
    <w:rsid w:val="009F58E6"/>
    <w:rsid w:val="00A003EF"/>
    <w:rsid w:val="00A275D9"/>
    <w:rsid w:val="00A32724"/>
    <w:rsid w:val="00A430F8"/>
    <w:rsid w:val="00A67418"/>
    <w:rsid w:val="00A70BC1"/>
    <w:rsid w:val="00A72C2B"/>
    <w:rsid w:val="00A827DD"/>
    <w:rsid w:val="00AA1DEF"/>
    <w:rsid w:val="00AB57AC"/>
    <w:rsid w:val="00AB795E"/>
    <w:rsid w:val="00AC6495"/>
    <w:rsid w:val="00AD5F2A"/>
    <w:rsid w:val="00AE0F3C"/>
    <w:rsid w:val="00AE252D"/>
    <w:rsid w:val="00AE6B5B"/>
    <w:rsid w:val="00AF1C0E"/>
    <w:rsid w:val="00AF7397"/>
    <w:rsid w:val="00AF7E72"/>
    <w:rsid w:val="00B0277B"/>
    <w:rsid w:val="00B17E5C"/>
    <w:rsid w:val="00B33989"/>
    <w:rsid w:val="00B40E05"/>
    <w:rsid w:val="00B450A3"/>
    <w:rsid w:val="00B5235C"/>
    <w:rsid w:val="00B63F33"/>
    <w:rsid w:val="00B67B4B"/>
    <w:rsid w:val="00B7422A"/>
    <w:rsid w:val="00B75A44"/>
    <w:rsid w:val="00B76910"/>
    <w:rsid w:val="00B839A2"/>
    <w:rsid w:val="00B90D6C"/>
    <w:rsid w:val="00B91BB8"/>
    <w:rsid w:val="00B91ECC"/>
    <w:rsid w:val="00B93459"/>
    <w:rsid w:val="00BA1229"/>
    <w:rsid w:val="00BB6625"/>
    <w:rsid w:val="00BC0DD0"/>
    <w:rsid w:val="00BC12AB"/>
    <w:rsid w:val="00BC24BA"/>
    <w:rsid w:val="00BC7A3D"/>
    <w:rsid w:val="00BD110F"/>
    <w:rsid w:val="00BD3D2E"/>
    <w:rsid w:val="00BD5D8D"/>
    <w:rsid w:val="00BD67D6"/>
    <w:rsid w:val="00BD6DC0"/>
    <w:rsid w:val="00BE19A2"/>
    <w:rsid w:val="00BE1CEE"/>
    <w:rsid w:val="00BE292A"/>
    <w:rsid w:val="00BE7FAE"/>
    <w:rsid w:val="00BF7D5B"/>
    <w:rsid w:val="00C01404"/>
    <w:rsid w:val="00C018B9"/>
    <w:rsid w:val="00C04DF0"/>
    <w:rsid w:val="00C04F53"/>
    <w:rsid w:val="00C0517D"/>
    <w:rsid w:val="00C058DA"/>
    <w:rsid w:val="00C05BBB"/>
    <w:rsid w:val="00C0681A"/>
    <w:rsid w:val="00C1463A"/>
    <w:rsid w:val="00C22E42"/>
    <w:rsid w:val="00C23376"/>
    <w:rsid w:val="00C307C7"/>
    <w:rsid w:val="00C4489E"/>
    <w:rsid w:val="00C6516A"/>
    <w:rsid w:val="00C71A60"/>
    <w:rsid w:val="00C72EBA"/>
    <w:rsid w:val="00C73D99"/>
    <w:rsid w:val="00C82FA8"/>
    <w:rsid w:val="00C86ECE"/>
    <w:rsid w:val="00C96A9C"/>
    <w:rsid w:val="00CA3FBD"/>
    <w:rsid w:val="00CA5539"/>
    <w:rsid w:val="00CA55A1"/>
    <w:rsid w:val="00CA7951"/>
    <w:rsid w:val="00CB03A1"/>
    <w:rsid w:val="00CB240E"/>
    <w:rsid w:val="00CC57D8"/>
    <w:rsid w:val="00CC58B5"/>
    <w:rsid w:val="00CD1287"/>
    <w:rsid w:val="00CD267C"/>
    <w:rsid w:val="00CD3309"/>
    <w:rsid w:val="00CE5819"/>
    <w:rsid w:val="00CF162B"/>
    <w:rsid w:val="00CF44E6"/>
    <w:rsid w:val="00CF733D"/>
    <w:rsid w:val="00D0466D"/>
    <w:rsid w:val="00D06C12"/>
    <w:rsid w:val="00D17535"/>
    <w:rsid w:val="00D36943"/>
    <w:rsid w:val="00D44728"/>
    <w:rsid w:val="00D601AC"/>
    <w:rsid w:val="00D626B0"/>
    <w:rsid w:val="00D6674C"/>
    <w:rsid w:val="00D7015A"/>
    <w:rsid w:val="00D72184"/>
    <w:rsid w:val="00D7409B"/>
    <w:rsid w:val="00D74390"/>
    <w:rsid w:val="00D76C42"/>
    <w:rsid w:val="00D86592"/>
    <w:rsid w:val="00D929E9"/>
    <w:rsid w:val="00DA1C56"/>
    <w:rsid w:val="00DA49BA"/>
    <w:rsid w:val="00DA4BD1"/>
    <w:rsid w:val="00DB0EBA"/>
    <w:rsid w:val="00DB0F0F"/>
    <w:rsid w:val="00DC22B5"/>
    <w:rsid w:val="00DC4287"/>
    <w:rsid w:val="00DC7D31"/>
    <w:rsid w:val="00DE40C0"/>
    <w:rsid w:val="00DE42E1"/>
    <w:rsid w:val="00DE4F2F"/>
    <w:rsid w:val="00DE5EBA"/>
    <w:rsid w:val="00DF3894"/>
    <w:rsid w:val="00E02DBC"/>
    <w:rsid w:val="00E05701"/>
    <w:rsid w:val="00E225F8"/>
    <w:rsid w:val="00E27FA9"/>
    <w:rsid w:val="00E32E63"/>
    <w:rsid w:val="00E36D0A"/>
    <w:rsid w:val="00E420E5"/>
    <w:rsid w:val="00E42FB9"/>
    <w:rsid w:val="00E50565"/>
    <w:rsid w:val="00E507C8"/>
    <w:rsid w:val="00E5448E"/>
    <w:rsid w:val="00E56C4B"/>
    <w:rsid w:val="00E622DF"/>
    <w:rsid w:val="00E6256A"/>
    <w:rsid w:val="00E67CFB"/>
    <w:rsid w:val="00E72F96"/>
    <w:rsid w:val="00E760CC"/>
    <w:rsid w:val="00E80257"/>
    <w:rsid w:val="00E84F5F"/>
    <w:rsid w:val="00E9390E"/>
    <w:rsid w:val="00E9541A"/>
    <w:rsid w:val="00EA1448"/>
    <w:rsid w:val="00EA2A8E"/>
    <w:rsid w:val="00EA3C05"/>
    <w:rsid w:val="00EA403B"/>
    <w:rsid w:val="00EA6FD7"/>
    <w:rsid w:val="00EB089C"/>
    <w:rsid w:val="00EB0D90"/>
    <w:rsid w:val="00EC31F8"/>
    <w:rsid w:val="00ED2AC0"/>
    <w:rsid w:val="00ED6FF5"/>
    <w:rsid w:val="00EF2A89"/>
    <w:rsid w:val="00EF37DF"/>
    <w:rsid w:val="00EF6924"/>
    <w:rsid w:val="00F01662"/>
    <w:rsid w:val="00F02015"/>
    <w:rsid w:val="00F07846"/>
    <w:rsid w:val="00F11081"/>
    <w:rsid w:val="00F228E7"/>
    <w:rsid w:val="00F2369B"/>
    <w:rsid w:val="00F23A66"/>
    <w:rsid w:val="00F538B9"/>
    <w:rsid w:val="00F62EFA"/>
    <w:rsid w:val="00F66E59"/>
    <w:rsid w:val="00F76D7C"/>
    <w:rsid w:val="00F958E7"/>
    <w:rsid w:val="00FA6F68"/>
    <w:rsid w:val="00FB41F1"/>
    <w:rsid w:val="00FC32B8"/>
    <w:rsid w:val="00FC5215"/>
    <w:rsid w:val="00FC6762"/>
    <w:rsid w:val="00FD06A7"/>
    <w:rsid w:val="00FD184D"/>
    <w:rsid w:val="00FD203B"/>
    <w:rsid w:val="00FD7C91"/>
    <w:rsid w:val="00FE22ED"/>
    <w:rsid w:val="00FE2C1D"/>
    <w:rsid w:val="00FF3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F5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BB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3B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6957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E84F5F"/>
    <w:pPr>
      <w:keepNext/>
      <w:spacing w:line="480" w:lineRule="auto"/>
      <w:outlineLvl w:val="7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7A271E"/>
    <w:pPr>
      <w:spacing w:line="320" w:lineRule="atLeast"/>
      <w:jc w:val="both"/>
    </w:pPr>
    <w:rPr>
      <w:rFonts w:ascii="Arial Narrow" w:hAnsi="Arial Narrow" w:cs="Arial"/>
      <w:sz w:val="22"/>
      <w:szCs w:val="20"/>
    </w:rPr>
  </w:style>
  <w:style w:type="paragraph" w:styleId="NormalWeb">
    <w:name w:val="Normal (Web)"/>
    <w:basedOn w:val="Normal"/>
    <w:uiPriority w:val="99"/>
    <w:unhideWhenUsed/>
    <w:rsid w:val="00EA6FD7"/>
    <w:pPr>
      <w:spacing w:after="180"/>
    </w:pPr>
    <w:rPr>
      <w:rFonts w:ascii="Tahoma" w:hAnsi="Tahoma" w:cs="Tahoma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C0517D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674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418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A674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418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A3F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F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3F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F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F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F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FBD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E84F5F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958E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240E"/>
    <w:rPr>
      <w:i/>
      <w:iCs/>
    </w:rPr>
  </w:style>
  <w:style w:type="character" w:styleId="Strong">
    <w:name w:val="Strong"/>
    <w:basedOn w:val="DefaultParagraphFont"/>
    <w:uiPriority w:val="22"/>
    <w:qFormat/>
    <w:rsid w:val="003E27F8"/>
    <w:rPr>
      <w:b/>
      <w:bCs/>
    </w:rPr>
  </w:style>
  <w:style w:type="character" w:styleId="Hyperlink">
    <w:name w:val="Hyperlink"/>
    <w:basedOn w:val="DefaultParagraphFont"/>
    <w:uiPriority w:val="99"/>
    <w:unhideWhenUsed/>
    <w:rsid w:val="003E27F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6B5B"/>
    <w:pPr>
      <w:spacing w:after="200"/>
    </w:pPr>
    <w:rPr>
      <w:b/>
      <w:bCs/>
      <w:color w:val="4F81BD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rsid w:val="009077F4"/>
    <w:rPr>
      <w:rFonts w:ascii="Arial Narrow" w:hAnsi="Arial Narrow" w:cs="Arial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B91BB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1BB8"/>
    <w:rPr>
      <w:sz w:val="24"/>
      <w:szCs w:val="24"/>
    </w:rPr>
  </w:style>
  <w:style w:type="paragraph" w:customStyle="1" w:styleId="Style1">
    <w:name w:val="Style1"/>
    <w:basedOn w:val="Heading1"/>
    <w:link w:val="Style1Char"/>
    <w:qFormat/>
    <w:rsid w:val="00B91BB8"/>
    <w:pPr>
      <w:spacing w:before="0" w:after="0"/>
      <w:contextualSpacing/>
    </w:pPr>
    <w:rPr>
      <w:rFonts w:ascii="Times New Roman" w:hAnsi="Times New Roman"/>
      <w:bCs w:val="0"/>
      <w:kern w:val="0"/>
      <w:sz w:val="24"/>
      <w:szCs w:val="20"/>
    </w:rPr>
  </w:style>
  <w:style w:type="character" w:customStyle="1" w:styleId="Style1Char">
    <w:name w:val="Style1 Char"/>
    <w:basedOn w:val="Heading1Char"/>
    <w:link w:val="Style1"/>
    <w:rsid w:val="00B91BB8"/>
    <w:rPr>
      <w:sz w:val="24"/>
    </w:rPr>
  </w:style>
  <w:style w:type="paragraph" w:customStyle="1" w:styleId="Bulleted">
    <w:name w:val="Bulleted"/>
    <w:aliases w:val="Symbol (symbol),Left:  0&quot;,Hanging:  0.25&quot;"/>
    <w:basedOn w:val="Normal"/>
    <w:rsid w:val="00B91BB8"/>
    <w:rPr>
      <w:rFonts w:ascii="Helvetica" w:hAnsi="Helvetic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B91BB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Default">
    <w:name w:val="Default"/>
    <w:rsid w:val="005218F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FF31B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31B3"/>
    <w:rPr>
      <w:rFonts w:ascii="Consolas" w:eastAsia="Calibri" w:hAnsi="Consolas"/>
      <w:sz w:val="21"/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9579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95797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95797"/>
    <w:rPr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695797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695797"/>
    <w:rPr>
      <w:sz w:val="24"/>
    </w:rPr>
  </w:style>
  <w:style w:type="paragraph" w:styleId="Subtitle">
    <w:name w:val="Subtitle"/>
    <w:basedOn w:val="Normal"/>
    <w:link w:val="SubtitleChar"/>
    <w:qFormat/>
    <w:rsid w:val="00695797"/>
    <w:rPr>
      <w:b/>
      <w:bCs/>
      <w:sz w:val="20"/>
      <w:szCs w:val="20"/>
    </w:rPr>
  </w:style>
  <w:style w:type="character" w:customStyle="1" w:styleId="SubtitleChar">
    <w:name w:val="Subtitle Char"/>
    <w:basedOn w:val="DefaultParagraphFont"/>
    <w:link w:val="Subtitle"/>
    <w:rsid w:val="0069579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3BD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1772">
          <w:marLeft w:val="6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7730">
          <w:marLeft w:val="6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9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380E5-8367-4F8D-8A0B-4B34109A6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Characterizing Interactions of Oculomotor and Sleep function in Mild TBI</vt:lpstr>
    </vt:vector>
  </TitlesOfParts>
  <Company>VA Research Division</Company>
  <LinksUpToDate>false</LinksUpToDate>
  <CharactersWithSpaces>10828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Characterizing Interactions of Oculomotor and Sleep function in Mild TBI</dc:title>
  <dc:subject/>
  <dc:creator>Dr. Denise Gobert</dc:creator>
  <cp:keywords/>
  <cp:lastModifiedBy>Dr. Denise Gobert</cp:lastModifiedBy>
  <cp:revision>2</cp:revision>
  <cp:lastPrinted>2009-10-06T00:10:00Z</cp:lastPrinted>
  <dcterms:created xsi:type="dcterms:W3CDTF">2010-01-01T06:25:00Z</dcterms:created>
  <dcterms:modified xsi:type="dcterms:W3CDTF">2010-01-01T06:25:00Z</dcterms:modified>
</cp:coreProperties>
</file>