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71C6C" w14:textId="77777777" w:rsidR="009D6070" w:rsidRDefault="00B8149D">
      <w:pPr>
        <w:spacing w:after="74"/>
      </w:pPr>
      <w:r>
        <w:rPr>
          <w:rFonts w:ascii="Arial" w:eastAsia="Arial" w:hAnsi="Arial" w:cs="Arial"/>
          <w:sz w:val="52"/>
        </w:rPr>
        <w:t xml:space="preserve">      </w:t>
      </w:r>
      <w:proofErr w:type="spellStart"/>
      <w:proofErr w:type="gramStart"/>
      <w:r>
        <w:rPr>
          <w:rFonts w:ascii="Arial" w:eastAsia="Arial" w:hAnsi="Arial" w:cs="Arial"/>
          <w:sz w:val="52"/>
        </w:rPr>
        <w:t>Disease:</w:t>
      </w:r>
      <w:r>
        <w:rPr>
          <w:color w:val="111111"/>
          <w:sz w:val="38"/>
        </w:rPr>
        <w:t>Anthracnose</w:t>
      </w:r>
      <w:proofErr w:type="spellEnd"/>
      <w:proofErr w:type="gramEnd"/>
    </w:p>
    <w:p w14:paraId="783A4A33" w14:textId="77777777" w:rsidR="009D6070" w:rsidRDefault="00B8149D">
      <w:pPr>
        <w:spacing w:after="319" w:line="322" w:lineRule="auto"/>
        <w:ind w:left="75" w:right="3575" w:hanging="75"/>
      </w:pPr>
      <w:r>
        <w:rPr>
          <w:noProof/>
        </w:rPr>
        <mc:AlternateContent>
          <mc:Choice Requires="wpg">
            <w:drawing>
              <wp:anchor distT="0" distB="0" distL="114300" distR="114300" simplePos="0" relativeHeight="251658240" behindDoc="0" locked="0" layoutInCell="1" allowOverlap="1" wp14:anchorId="3B04838F" wp14:editId="3737D6D9">
                <wp:simplePos x="0" y="0"/>
                <wp:positionH relativeFrom="column">
                  <wp:posOffset>3833813</wp:posOffset>
                </wp:positionH>
                <wp:positionV relativeFrom="paragraph">
                  <wp:posOffset>-266473</wp:posOffset>
                </wp:positionV>
                <wp:extent cx="2781300" cy="4368259"/>
                <wp:effectExtent l="0" t="0" r="0" b="0"/>
                <wp:wrapSquare wrapText="bothSides"/>
                <wp:docPr id="446" name="Group 446"/>
                <wp:cNvGraphicFramePr/>
                <a:graphic xmlns:a="http://schemas.openxmlformats.org/drawingml/2006/main">
                  <a:graphicData uri="http://schemas.microsoft.com/office/word/2010/wordprocessingGroup">
                    <wpg:wgp>
                      <wpg:cNvGrpSpPr/>
                      <wpg:grpSpPr>
                        <a:xfrm>
                          <a:off x="0" y="0"/>
                          <a:ext cx="2781300" cy="4368259"/>
                          <a:chOff x="0" y="0"/>
                          <a:chExt cx="2781300" cy="4368259"/>
                        </a:xfrm>
                      </wpg:grpSpPr>
                      <pic:pic xmlns:pic="http://schemas.openxmlformats.org/drawingml/2006/picture">
                        <pic:nvPicPr>
                          <pic:cNvPr id="61" name="Picture 61"/>
                          <pic:cNvPicPr/>
                        </pic:nvPicPr>
                        <pic:blipFill>
                          <a:blip r:embed="rId4"/>
                          <a:stretch>
                            <a:fillRect/>
                          </a:stretch>
                        </pic:blipFill>
                        <pic:spPr>
                          <a:xfrm>
                            <a:off x="0" y="0"/>
                            <a:ext cx="2781300" cy="2171700"/>
                          </a:xfrm>
                          <a:prstGeom prst="rect">
                            <a:avLst/>
                          </a:prstGeom>
                        </pic:spPr>
                      </pic:pic>
                      <pic:pic xmlns:pic="http://schemas.openxmlformats.org/drawingml/2006/picture">
                        <pic:nvPicPr>
                          <pic:cNvPr id="63" name="Picture 63"/>
                          <pic:cNvPicPr/>
                        </pic:nvPicPr>
                        <pic:blipFill>
                          <a:blip r:embed="rId5"/>
                          <a:stretch>
                            <a:fillRect/>
                          </a:stretch>
                        </pic:blipFill>
                        <pic:spPr>
                          <a:xfrm>
                            <a:off x="0" y="2272759"/>
                            <a:ext cx="2781300" cy="2095500"/>
                          </a:xfrm>
                          <a:prstGeom prst="rect">
                            <a:avLst/>
                          </a:prstGeom>
                        </pic:spPr>
                      </pic:pic>
                    </wpg:wgp>
                  </a:graphicData>
                </a:graphic>
              </wp:anchor>
            </w:drawing>
          </mc:Choice>
          <mc:Fallback xmlns:a="http://schemas.openxmlformats.org/drawingml/2006/main">
            <w:pict>
              <v:group id="Group 446" style="width:219pt;height:343.957pt;position:absolute;mso-position-horizontal-relative:text;mso-position-horizontal:absolute;margin-left:301.875pt;mso-position-vertical-relative:text;margin-top:-20.9822pt;" coordsize="27813,43682">
                <v:shape id="Picture 61" style="position:absolute;width:27813;height:21717;left:0;top:0;" filled="f">
                  <v:imagedata r:id="rId6"/>
                </v:shape>
                <v:shape id="Picture 63" style="position:absolute;width:27813;height:20955;left:0;top:22727;" filled="f">
                  <v:imagedata r:id="rId7"/>
                </v:shape>
                <w10:wrap type="square"/>
              </v:group>
            </w:pict>
          </mc:Fallback>
        </mc:AlternateContent>
      </w:r>
      <w:r>
        <w:rPr>
          <w:rFonts w:ascii="Arial" w:eastAsia="Arial" w:hAnsi="Arial" w:cs="Arial"/>
          <w:color w:val="444444"/>
          <w:sz w:val="27"/>
        </w:rPr>
        <w:t>The term anthracnose refers to a group of fungal diseases that can affect a wide range of plant species, trees as well as shrubs, both ornamentals and edibles, and also garden crops. While the symptoms are similar, the fungi that cause the disease are diff</w:t>
      </w:r>
      <w:r>
        <w:rPr>
          <w:rFonts w:ascii="Arial" w:eastAsia="Arial" w:hAnsi="Arial" w:cs="Arial"/>
          <w:color w:val="444444"/>
          <w:sz w:val="27"/>
        </w:rPr>
        <w:t>erent from host to host.</w:t>
      </w:r>
    </w:p>
    <w:p w14:paraId="6F3D872D" w14:textId="77777777" w:rsidR="009D6070" w:rsidRDefault="00B8149D">
      <w:pPr>
        <w:spacing w:after="56"/>
      </w:pPr>
      <w:r>
        <w:rPr>
          <w:rFonts w:ascii="Arial" w:eastAsia="Arial" w:hAnsi="Arial" w:cs="Arial"/>
          <w:b/>
          <w:color w:val="111111"/>
          <w:sz w:val="30"/>
        </w:rPr>
        <w:t>How does it spread?</w:t>
      </w:r>
    </w:p>
    <w:p w14:paraId="2677C4E8" w14:textId="77777777" w:rsidR="009D6070" w:rsidRDefault="00B8149D">
      <w:pPr>
        <w:spacing w:after="1507" w:line="322" w:lineRule="auto"/>
        <w:ind w:left="75" w:right="3455" w:hanging="75"/>
      </w:pPr>
      <w:r>
        <w:rPr>
          <w:rFonts w:ascii="Arial" w:eastAsia="Arial" w:hAnsi="Arial" w:cs="Arial"/>
          <w:color w:val="111111"/>
          <w:sz w:val="27"/>
        </w:rPr>
        <w:t>This fungus can be seed-borne and carry over on crop residue in the soil. It is spread in water droplets and worse in warm, humid weather.</w:t>
      </w:r>
    </w:p>
    <w:p w14:paraId="5BC9BFFC" w14:textId="77777777" w:rsidR="009D6070" w:rsidRDefault="00B8149D">
      <w:pPr>
        <w:spacing w:after="0"/>
      </w:pPr>
      <w:r>
        <w:rPr>
          <w:rFonts w:ascii="Arial" w:eastAsia="Arial" w:hAnsi="Arial" w:cs="Arial"/>
          <w:b/>
          <w:color w:val="111111"/>
          <w:sz w:val="41"/>
        </w:rPr>
        <w:t>Treatment</w:t>
      </w:r>
    </w:p>
    <w:p w14:paraId="65D7203A" w14:textId="77777777" w:rsidR="009D6070" w:rsidRDefault="00B8149D">
      <w:pPr>
        <w:pStyle w:val="Heading1"/>
        <w:ind w:left="-5"/>
      </w:pPr>
      <w:r>
        <w:t>Pre-harvest treatment</w:t>
      </w:r>
    </w:p>
    <w:p w14:paraId="08FC50AD" w14:textId="77777777" w:rsidR="009D6070" w:rsidRDefault="00B8149D">
      <w:pPr>
        <w:spacing w:after="0" w:line="284" w:lineRule="auto"/>
        <w:ind w:left="-5" w:hanging="10"/>
      </w:pPr>
      <w:r>
        <w:rPr>
          <w:rFonts w:ascii="Arial" w:eastAsia="Arial" w:hAnsi="Arial" w:cs="Arial"/>
          <w:color w:val="111111"/>
          <w:sz w:val="23"/>
        </w:rPr>
        <w:t>Follow a recommended fungicide spray pro</w:t>
      </w:r>
      <w:r>
        <w:rPr>
          <w:rFonts w:ascii="Arial" w:eastAsia="Arial" w:hAnsi="Arial" w:cs="Arial"/>
          <w:color w:val="111111"/>
          <w:sz w:val="23"/>
        </w:rPr>
        <w:t xml:space="preserve">gram for your crop from flowering to fruit set. Control fruit-damaging pests such as </w:t>
      </w:r>
      <w:proofErr w:type="spellStart"/>
      <w:r>
        <w:rPr>
          <w:rFonts w:ascii="Arial" w:eastAsia="Arial" w:hAnsi="Arial" w:cs="Arial"/>
          <w:color w:val="111111"/>
          <w:sz w:val="23"/>
        </w:rPr>
        <w:t>fruitspotting</w:t>
      </w:r>
      <w:proofErr w:type="spellEnd"/>
      <w:r>
        <w:rPr>
          <w:rFonts w:ascii="Arial" w:eastAsia="Arial" w:hAnsi="Arial" w:cs="Arial"/>
          <w:color w:val="111111"/>
          <w:sz w:val="23"/>
        </w:rPr>
        <w:t xml:space="preserve"> bug and fruit fly.</w:t>
      </w:r>
    </w:p>
    <w:p w14:paraId="52AFBD23" w14:textId="77777777" w:rsidR="009D6070" w:rsidRDefault="00B8149D">
      <w:pPr>
        <w:pStyle w:val="Heading1"/>
        <w:ind w:left="-5"/>
      </w:pPr>
      <w:r>
        <w:t>Post-harvest treatment</w:t>
      </w:r>
    </w:p>
    <w:p w14:paraId="3AF7BBB6" w14:textId="77777777" w:rsidR="009D6070" w:rsidRDefault="00B8149D">
      <w:pPr>
        <w:spacing w:after="0" w:line="284" w:lineRule="auto"/>
        <w:ind w:left="-5" w:hanging="10"/>
      </w:pPr>
      <w:r>
        <w:rPr>
          <w:rFonts w:ascii="Arial" w:eastAsia="Arial" w:hAnsi="Arial" w:cs="Arial"/>
          <w:color w:val="111111"/>
          <w:sz w:val="23"/>
        </w:rPr>
        <w:t>Treat fruit after harvest with an appropriate chemical. Pre-cool fruit before transport if the time from harvest to</w:t>
      </w:r>
      <w:r>
        <w:rPr>
          <w:rFonts w:ascii="Arial" w:eastAsia="Arial" w:hAnsi="Arial" w:cs="Arial"/>
          <w:color w:val="111111"/>
          <w:sz w:val="23"/>
        </w:rPr>
        <w:t xml:space="preserve"> delivery at the wholesale market exceeds two days. Store fruit until sale at the temperature recommended for that crop.</w:t>
      </w:r>
    </w:p>
    <w:p w14:paraId="4CE90058" w14:textId="77777777" w:rsidR="009D6070" w:rsidRDefault="00B8149D">
      <w:pPr>
        <w:pStyle w:val="Heading1"/>
        <w:ind w:left="-5"/>
      </w:pPr>
      <w:r>
        <w:t>Chemical registrations and permits</w:t>
      </w:r>
    </w:p>
    <w:p w14:paraId="21BF17E5" w14:textId="77777777" w:rsidR="009D6070" w:rsidRDefault="00B8149D">
      <w:pPr>
        <w:spacing w:after="0" w:line="284" w:lineRule="auto"/>
        <w:ind w:left="-5" w:hanging="10"/>
      </w:pPr>
      <w:r>
        <w:rPr>
          <w:rFonts w:ascii="Arial" w:eastAsia="Arial" w:hAnsi="Arial" w:cs="Arial"/>
          <w:color w:val="111111"/>
          <w:sz w:val="23"/>
        </w:rPr>
        <w:t>Check the Australian Pesticides and Veterinary Medicines Authority chemical database and permit data</w:t>
      </w:r>
      <w:r>
        <w:rPr>
          <w:rFonts w:ascii="Arial" w:eastAsia="Arial" w:hAnsi="Arial" w:cs="Arial"/>
          <w:color w:val="111111"/>
          <w:sz w:val="23"/>
        </w:rPr>
        <w:t>base for chemicals registered or approved under permit to treat this disease on the target crop in your state or location.</w:t>
      </w:r>
    </w:p>
    <w:sectPr w:rsidR="009D6070">
      <w:pgSz w:w="12240" w:h="15840"/>
      <w:pgMar w:top="1440" w:right="152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070"/>
    <w:rsid w:val="009D6070"/>
    <w:rsid w:val="00B81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BC310"/>
  <w15:docId w15:val="{79B65B2B-8805-42DE-AA2E-699664B36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9"/>
      <w:ind w:left="10" w:hanging="10"/>
      <w:outlineLvl w:val="0"/>
    </w:pPr>
    <w:rPr>
      <w:rFonts w:ascii="Arial" w:eastAsia="Arial" w:hAnsi="Arial" w:cs="Arial"/>
      <w:b/>
      <w:color w:val="111111"/>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111111"/>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Yashu Pandey</dc:creator>
  <cp:keywords/>
  <cp:lastModifiedBy>Yashu Pandey</cp:lastModifiedBy>
  <cp:revision>2</cp:revision>
  <dcterms:created xsi:type="dcterms:W3CDTF">2022-04-20T14:31:00Z</dcterms:created>
  <dcterms:modified xsi:type="dcterms:W3CDTF">2022-04-20T14:31:00Z</dcterms:modified>
</cp:coreProperties>
</file>