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2620"/>
          <w:sz w:val="48"/>
        </w:rPr>
        <w:t>LearnedCircle Investor-Ready Business Plan</w:t>
      </w:r>
    </w:p>
    <w:p>
      <w:pPr>
        <w:jc w:val="center"/>
      </w:pPr>
      <w:r>
        <w:rPr>
          <w:color w:val="68736E"/>
          <w:sz w:val="24"/>
        </w:rPr>
        <w:t>Flagship legal technology company with LegalCircle as the content and professional network</w:t>
      </w:r>
    </w:p>
    <w:p/>
    <w:tbl>
      <w:tblPr>
        <w:tblW w:type="auto" w:w="0"/>
        <w:jc w:val="center"/>
        <w:tblLayout w:type="autofit"/>
        <w:tblLook w:firstColumn="1" w:firstRow="1" w:lastColumn="0" w:lastRow="0" w:noHBand="0" w:noVBand="1" w:val="04A0"/>
      </w:tblPr>
      <w:tblGrid>
        <w:gridCol w:w="3360"/>
        <w:gridCol w:w="3360"/>
        <w:gridCol w:w="3360"/>
      </w:tblGrid>
      <w:tr>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Fundraising Range</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Primary Investment Options</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Prepared</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US$250,000 to US$1,000,000 or naira equivalent</w:t>
            </w:r>
          </w:p>
        </w:tc>
        <w:tc>
          <w:tcPr>
            <w:tcW w:type="dxa" w:w="3360"/>
            <w:tcBorders>
              <w:top w:val="single" w:sz="8" w:space="0" w:color="D8D0C0"/>
              <w:left w:val="single" w:sz="8" w:space="0" w:color="D8D0C0"/>
              <w:bottom w:val="single" w:sz="8" w:space="0" w:color="D8D0C0"/>
              <w:right w:val="single" w:sz="8" w:space="0" w:color="D8D0C0"/>
            </w:tcBorders>
          </w:tcPr>
          <w:p>
            <w:r>
              <w:rPr>
                <w:sz w:val="16"/>
              </w:rPr>
              <w:t>N100m for 12%; N200m for 15%; N500m for 20%</w:t>
            </w:r>
          </w:p>
        </w:tc>
        <w:tc>
          <w:tcPr>
            <w:tcW w:type="dxa" w:w="3360"/>
            <w:tcBorders>
              <w:top w:val="single" w:sz="8" w:space="0" w:color="D8D0C0"/>
              <w:left w:val="single" w:sz="8" w:space="0" w:color="D8D0C0"/>
              <w:bottom w:val="single" w:sz="8" w:space="0" w:color="D8D0C0"/>
              <w:right w:val="single" w:sz="8" w:space="0" w:color="D8D0C0"/>
            </w:tcBorders>
          </w:tcPr>
          <w:p>
            <w:r>
              <w:rPr>
                <w:sz w:val="16"/>
              </w:rPr>
              <w:t>June 2026</w:t>
            </w:r>
          </w:p>
        </w:tc>
      </w:tr>
    </w:tbl>
    <w:p/>
    <w:p>
      <w:r>
        <w:br w:type="page"/>
      </w:r>
    </w:p>
    <w:p>
      <w:pPr>
        <w:pStyle w:val="Heading1"/>
      </w:pPr>
      <w:r>
        <w:rPr>
          <w:b/>
        </w:rPr>
        <w:t>Table of Contents</w:t>
      </w:r>
    </w:p>
    <w:p>
      <w:pPr>
        <w:pStyle w:val="BodyText"/>
      </w:pPr>
      <w:r>
        <w:t>1. Executive Summary</w:t>
      </w:r>
    </w:p>
    <w:p>
      <w:pPr>
        <w:pStyle w:val="BodyText"/>
      </w:pPr>
      <w:r>
        <w:t>2. Company Overview</w:t>
      </w:r>
    </w:p>
    <w:p>
      <w:pPr>
        <w:pStyle w:val="BodyText"/>
      </w:pPr>
      <w:r>
        <w:t>3. The Problem</w:t>
      </w:r>
    </w:p>
    <w:p>
      <w:pPr>
        <w:pStyle w:val="BodyText"/>
      </w:pPr>
      <w:r>
        <w:t>4. Our Solution</w:t>
      </w:r>
    </w:p>
    <w:p>
      <w:pPr>
        <w:pStyle w:val="BodyText"/>
      </w:pPr>
      <w:r>
        <w:t>5. Products and Services</w:t>
      </w:r>
    </w:p>
    <w:p>
      <w:pPr>
        <w:pStyle w:val="BodyText"/>
      </w:pPr>
      <w:r>
        <w:t>6. Market Analysis: Nigeria and Africa</w:t>
      </w:r>
    </w:p>
    <w:p>
      <w:pPr>
        <w:pStyle w:val="BodyText"/>
      </w:pPr>
      <w:r>
        <w:t>7. Competitor Analysis</w:t>
      </w:r>
    </w:p>
    <w:p>
      <w:pPr>
        <w:pStyle w:val="BodyText"/>
      </w:pPr>
      <w:r>
        <w:t>8. Revenue Model</w:t>
      </w:r>
    </w:p>
    <w:p>
      <w:pPr>
        <w:pStyle w:val="BodyText"/>
      </w:pPr>
      <w:r>
        <w:t>9. Marketing Strategy</w:t>
      </w:r>
    </w:p>
    <w:p>
      <w:pPr>
        <w:pStyle w:val="BodyText"/>
      </w:pPr>
      <w:r>
        <w:t>10. Technology Stack</w:t>
      </w:r>
    </w:p>
    <w:p>
      <w:pPr>
        <w:pStyle w:val="BodyText"/>
      </w:pPr>
      <w:r>
        <w:t>11. Business Model</w:t>
      </w:r>
    </w:p>
    <w:p>
      <w:pPr>
        <w:pStyle w:val="BodyText"/>
      </w:pPr>
      <w:r>
        <w:t>12. Five-Year Growth Strategy</w:t>
      </w:r>
    </w:p>
    <w:p>
      <w:pPr>
        <w:pStyle w:val="BodyText"/>
      </w:pPr>
      <w:r>
        <w:t>13. Financial Projections</w:t>
      </w:r>
    </w:p>
    <w:p>
      <w:pPr>
        <w:pStyle w:val="BodyText"/>
      </w:pPr>
      <w:r>
        <w:t>14. Risk Analysis</w:t>
      </w:r>
    </w:p>
    <w:p>
      <w:pPr>
        <w:pStyle w:val="BodyText"/>
      </w:pPr>
      <w:r>
        <w:t>15. Exit Strategy</w:t>
      </w:r>
    </w:p>
    <w:p>
      <w:pPr>
        <w:pStyle w:val="BodyText"/>
      </w:pPr>
      <w:r>
        <w:t>16. Funding Requirements and Use of Funds</w:t>
      </w:r>
    </w:p>
    <w:p>
      <w:r>
        <w:br w:type="page"/>
      </w:r>
    </w:p>
    <w:p>
      <w:pPr>
        <w:pStyle w:val="Heading1"/>
      </w:pPr>
      <w:r>
        <w:rPr>
          <w:b/>
        </w:rPr>
        <w:t>1. Executive Summary</w:t>
      </w:r>
    </w:p>
    <w:p>
      <w:pPr>
        <w:pStyle w:val="BodyText"/>
      </w:pPr>
      <w:r>
        <w:t>LearnedCircle is a flagship legal technology company building a trusted legal marketplace and professional network for Nigeria, with a staged path into Africa. LegalCircle operates as the legal content, professional publishing, debate and community network under the LearnedCircle ecosystem.</w:t>
      </w:r>
    </w:p>
    <w:p>
      <w:pPr>
        <w:pStyle w:val="ListBullet"/>
      </w:pPr>
      <w:r>
        <w:t>Core users: clients, lawyers, law firms, employers, legal professionals, tax specialists, senior mentors and advertisers.</w:t>
      </w:r>
    </w:p>
    <w:p>
      <w:pPr>
        <w:pStyle w:val="ListBullet"/>
      </w:pPr>
      <w:r>
        <w:t>Revenue: premium lawyer subscriptions, job and advert placements, featured listings, sponsored content, practice tools and future professional services.</w:t>
      </w:r>
    </w:p>
    <w:p>
      <w:pPr>
        <w:pStyle w:val="ListBullet"/>
      </w:pPr>
      <w:r>
        <w:t>Fundraising frame: US$250,000 to US$1 million, or naira equivalent, to support hiring, marketing, verification, partnerships and product expansion.</w:t>
      </w:r>
    </w:p>
    <w:p>
      <w:pPr>
        <w:pStyle w:val="ListBullet"/>
      </w:pPr>
      <w:r>
        <w:t>Equity options: N100,000,000 for 12%, N200,000,000 for 15%, and N500,000,000 for 20%.</w:t>
      </w:r>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2. Company Overview</w:t>
      </w:r>
    </w:p>
    <w:p>
      <w:pPr>
        <w:pStyle w:val="BodyText"/>
      </w:pPr>
      <w:r>
        <w:t>LearnedCircle is positioned as the operating company and commercial platform. LegalCircle is positioned as the content and professional network layer, giving the brand a broader media, publishing, mentorship and professional engagement engine.</w:t>
      </w:r>
    </w:p>
    <w:p>
      <w:pPr>
        <w:pStyle w:val="ListBullet"/>
      </w:pPr>
      <w:r>
        <w:t>LearnedCircle: lawyer discovery, premium profiles, client contact, jobs, advertising, invoices, admin workflows and verification.</w:t>
      </w:r>
    </w:p>
    <w:p>
      <w:pPr>
        <w:pStyle w:val="ListBullet"/>
      </w:pPr>
      <w:r>
        <w:t>LegalCircle: articles, legal news, debates, guest blogs, mentorship notes, professional community and thought leadership.</w:t>
      </w:r>
    </w:p>
    <w:p>
      <w:pPr>
        <w:pStyle w:val="ListBullet"/>
      </w:pPr>
      <w:r>
        <w:t>Ownership identity: powered by Advocati LP, with the Advocati LP logo to be added when supplied.</w:t>
      </w:r>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3. The Problem</w:t>
      </w:r>
    </w:p>
    <w:p>
      <w:pPr>
        <w:pStyle w:val="BodyText"/>
      </w:pPr>
      <w:r>
        <w:t>Clients often struggle to identify credible lawyers. Lawyers struggle to build trusted digital visibility, receive quality briefs, publish professional insight, find opportunities and network beyond their immediate circle.</w:t>
      </w:r>
    </w:p>
    <w:p>
      <w:pPr>
        <w:pStyle w:val="ListBullet"/>
      </w:pPr>
      <w:r>
        <w:t>Legal discovery remains fragmented across referrals, WhatsApp groups, search engines and informal networks.</w:t>
      </w:r>
    </w:p>
    <w:p>
      <w:pPr>
        <w:pStyle w:val="ListBullet"/>
      </w:pPr>
      <w:r>
        <w:t>Young lawyers need mentorship, visibility and structured professional opportunities.</w:t>
      </w:r>
    </w:p>
    <w:p>
      <w:pPr>
        <w:pStyle w:val="ListBullet"/>
      </w:pPr>
      <w:r>
        <w:t>Senior lawyers need a credible place to publish, mentor and build professional legacy.</w:t>
      </w:r>
    </w:p>
    <w:p>
      <w:pPr>
        <w:pStyle w:val="ListBullet"/>
      </w:pPr>
      <w:r>
        <w:t>Employers and law firms need a cleaner channel for legal jobs, retainers and specialist opportunities.</w:t>
      </w:r>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4. Our Solution</w:t>
      </w:r>
    </w:p>
    <w:p>
      <w:pPr>
        <w:pStyle w:val="BodyText"/>
      </w:pPr>
      <w:r>
        <w:t>LearnedCircle creates one trusted legal network where clients can find lawyers, lawyers can build visibility, and the profession can exchange knowledge and opportunities.</w:t>
      </w:r>
    </w:p>
    <w:p>
      <w:pPr>
        <w:pStyle w:val="ListBullet"/>
      </w:pPr>
      <w:r>
        <w:t>Verified lawyer profiles with SCN, year of call, location, practice areas and public-contact preferences.</w:t>
      </w:r>
    </w:p>
    <w:p>
      <w:pPr>
        <w:pStyle w:val="ListBullet"/>
      </w:pPr>
      <w:r>
        <w:t>Public client access without registration, including direct contact to active premium lawyers.</w:t>
      </w:r>
    </w:p>
    <w:p>
      <w:pPr>
        <w:pStyle w:val="ListBullet"/>
      </w:pPr>
      <w:r>
        <w:t>Premium publishing for active verified premium lawyers, while free and non-premium accounts go through review.</w:t>
      </w:r>
    </w:p>
    <w:p>
      <w:pPr>
        <w:pStyle w:val="ListBullet"/>
      </w:pPr>
      <w:r>
        <w:t>Mentorship visibility for senior lawyers and profile displays showing mentee following count.</w:t>
      </w:r>
    </w:p>
    <w:p>
      <w:pPr>
        <w:pStyle w:val="ListBullet"/>
      </w:pPr>
      <w:r>
        <w:t>Lawyer dashboards with chat, notifications, invoices, article submission and profile management.</w:t>
      </w:r>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5. Products and Services</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Product</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Audience</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Commercial Value</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Verified profiles</w:t>
            </w:r>
          </w:p>
        </w:tc>
        <w:tc>
          <w:tcPr>
            <w:tcW w:type="dxa" w:w="3360"/>
            <w:tcBorders>
              <w:top w:val="single" w:sz="8" w:space="0" w:color="D8D0C0"/>
              <w:left w:val="single" w:sz="8" w:space="0" w:color="D8D0C0"/>
              <w:bottom w:val="single" w:sz="8" w:space="0" w:color="D8D0C0"/>
              <w:right w:val="single" w:sz="8" w:space="0" w:color="D8D0C0"/>
            </w:tcBorders>
          </w:tcPr>
          <w:p>
            <w:r>
              <w:rPr>
                <w:sz w:val="16"/>
              </w:rPr>
              <w:t>Lawyers and clients</w:t>
            </w:r>
          </w:p>
        </w:tc>
        <w:tc>
          <w:tcPr>
            <w:tcW w:type="dxa" w:w="3360"/>
            <w:tcBorders>
              <w:top w:val="single" w:sz="8" w:space="0" w:color="D8D0C0"/>
              <w:left w:val="single" w:sz="8" w:space="0" w:color="D8D0C0"/>
              <w:bottom w:val="single" w:sz="8" w:space="0" w:color="D8D0C0"/>
              <w:right w:val="single" w:sz="8" w:space="0" w:color="D8D0C0"/>
            </w:tcBorders>
          </w:tcPr>
          <w:p>
            <w:r>
              <w:rPr>
                <w:sz w:val="16"/>
              </w:rPr>
              <w:t>Trust, discovery, and profile credibility</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Premium membership</w:t>
            </w:r>
          </w:p>
        </w:tc>
        <w:tc>
          <w:tcPr>
            <w:tcW w:type="dxa" w:w="3360"/>
            <w:tcBorders>
              <w:top w:val="single" w:sz="8" w:space="0" w:color="D8D0C0"/>
              <w:left w:val="single" w:sz="8" w:space="0" w:color="D8D0C0"/>
              <w:bottom w:val="single" w:sz="8" w:space="0" w:color="D8D0C0"/>
              <w:right w:val="single" w:sz="8" w:space="0" w:color="D8D0C0"/>
            </w:tcBorders>
          </w:tcPr>
          <w:p>
            <w:r>
              <w:rPr>
                <w:sz w:val="16"/>
              </w:rPr>
              <w:t>Lawyers and firms</w:t>
            </w:r>
          </w:p>
        </w:tc>
        <w:tc>
          <w:tcPr>
            <w:tcW w:type="dxa" w:w="3360"/>
            <w:tcBorders>
              <w:top w:val="single" w:sz="8" w:space="0" w:color="D8D0C0"/>
              <w:left w:val="single" w:sz="8" w:space="0" w:color="D8D0C0"/>
              <w:bottom w:val="single" w:sz="8" w:space="0" w:color="D8D0C0"/>
              <w:right w:val="single" w:sz="8" w:space="0" w:color="D8D0C0"/>
            </w:tcBorders>
          </w:tcPr>
          <w:p>
            <w:r>
              <w:rPr>
                <w:sz w:val="16"/>
              </w:rPr>
              <w:t>Recurring subscription revenue</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LegalCircle content</w:t>
            </w:r>
          </w:p>
        </w:tc>
        <w:tc>
          <w:tcPr>
            <w:tcW w:type="dxa" w:w="3360"/>
            <w:tcBorders>
              <w:top w:val="single" w:sz="8" w:space="0" w:color="D8D0C0"/>
              <w:left w:val="single" w:sz="8" w:space="0" w:color="D8D0C0"/>
              <w:bottom w:val="single" w:sz="8" w:space="0" w:color="D8D0C0"/>
              <w:right w:val="single" w:sz="8" w:space="0" w:color="D8D0C0"/>
            </w:tcBorders>
          </w:tcPr>
          <w:p>
            <w:r>
              <w:rPr>
                <w:sz w:val="16"/>
              </w:rPr>
              <w:t>Lawyers, clients, public</w:t>
            </w:r>
          </w:p>
        </w:tc>
        <w:tc>
          <w:tcPr>
            <w:tcW w:type="dxa" w:w="3360"/>
            <w:tcBorders>
              <w:top w:val="single" w:sz="8" w:space="0" w:color="D8D0C0"/>
              <w:left w:val="single" w:sz="8" w:space="0" w:color="D8D0C0"/>
              <w:bottom w:val="single" w:sz="8" w:space="0" w:color="D8D0C0"/>
              <w:right w:val="single" w:sz="8" w:space="0" w:color="D8D0C0"/>
            </w:tcBorders>
          </w:tcPr>
          <w:p>
            <w:r>
              <w:rPr>
                <w:sz w:val="16"/>
              </w:rPr>
              <w:t>Audience growth and authority</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Jobs and opportunities</w:t>
            </w:r>
          </w:p>
        </w:tc>
        <w:tc>
          <w:tcPr>
            <w:tcW w:type="dxa" w:w="3360"/>
            <w:tcBorders>
              <w:top w:val="single" w:sz="8" w:space="0" w:color="D8D0C0"/>
              <w:left w:val="single" w:sz="8" w:space="0" w:color="D8D0C0"/>
              <w:bottom w:val="single" w:sz="8" w:space="0" w:color="D8D0C0"/>
              <w:right w:val="single" w:sz="8" w:space="0" w:color="D8D0C0"/>
            </w:tcBorders>
          </w:tcPr>
          <w:p>
            <w:r>
              <w:rPr>
                <w:sz w:val="16"/>
              </w:rPr>
              <w:t>Employers, firms, lawyers</w:t>
            </w:r>
          </w:p>
        </w:tc>
        <w:tc>
          <w:tcPr>
            <w:tcW w:type="dxa" w:w="3360"/>
            <w:tcBorders>
              <w:top w:val="single" w:sz="8" w:space="0" w:color="D8D0C0"/>
              <w:left w:val="single" w:sz="8" w:space="0" w:color="D8D0C0"/>
              <w:bottom w:val="single" w:sz="8" w:space="0" w:color="D8D0C0"/>
              <w:right w:val="single" w:sz="8" w:space="0" w:color="D8D0C0"/>
            </w:tcBorders>
          </w:tcPr>
          <w:p>
            <w:r>
              <w:rPr>
                <w:sz w:val="16"/>
              </w:rPr>
              <w:t>Marketplace revenue and hiring utility</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Mentorship</w:t>
            </w:r>
          </w:p>
        </w:tc>
        <w:tc>
          <w:tcPr>
            <w:tcW w:type="dxa" w:w="3360"/>
            <w:tcBorders>
              <w:top w:val="single" w:sz="8" w:space="0" w:color="D8D0C0"/>
              <w:left w:val="single" w:sz="8" w:space="0" w:color="D8D0C0"/>
              <w:bottom w:val="single" w:sz="8" w:space="0" w:color="D8D0C0"/>
              <w:right w:val="single" w:sz="8" w:space="0" w:color="D8D0C0"/>
            </w:tcBorders>
          </w:tcPr>
          <w:p>
            <w:r>
              <w:rPr>
                <w:sz w:val="16"/>
              </w:rPr>
              <w:t>Senior and young lawyers</w:t>
            </w:r>
          </w:p>
        </w:tc>
        <w:tc>
          <w:tcPr>
            <w:tcW w:type="dxa" w:w="3360"/>
            <w:tcBorders>
              <w:top w:val="single" w:sz="8" w:space="0" w:color="D8D0C0"/>
              <w:left w:val="single" w:sz="8" w:space="0" w:color="D8D0C0"/>
              <w:bottom w:val="single" w:sz="8" w:space="0" w:color="D8D0C0"/>
              <w:right w:val="single" w:sz="8" w:space="0" w:color="D8D0C0"/>
            </w:tcBorders>
          </w:tcPr>
          <w:p>
            <w:r>
              <w:rPr>
                <w:sz w:val="16"/>
              </w:rPr>
              <w:t>Community depth and professional value</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Invoices</w:t>
            </w:r>
          </w:p>
        </w:tc>
        <w:tc>
          <w:tcPr>
            <w:tcW w:type="dxa" w:w="3360"/>
            <w:tcBorders>
              <w:top w:val="single" w:sz="8" w:space="0" w:color="D8D0C0"/>
              <w:left w:val="single" w:sz="8" w:space="0" w:color="D8D0C0"/>
              <w:bottom w:val="single" w:sz="8" w:space="0" w:color="D8D0C0"/>
              <w:right w:val="single" w:sz="8" w:space="0" w:color="D8D0C0"/>
            </w:tcBorders>
          </w:tcPr>
          <w:p>
            <w:r>
              <w:rPr>
                <w:sz w:val="16"/>
              </w:rPr>
              <w:t>Lawyers and firms</w:t>
            </w:r>
          </w:p>
        </w:tc>
        <w:tc>
          <w:tcPr>
            <w:tcW w:type="dxa" w:w="3360"/>
            <w:tcBorders>
              <w:top w:val="single" w:sz="8" w:space="0" w:color="D8D0C0"/>
              <w:left w:val="single" w:sz="8" w:space="0" w:color="D8D0C0"/>
              <w:bottom w:val="single" w:sz="8" w:space="0" w:color="D8D0C0"/>
              <w:right w:val="single" w:sz="8" w:space="0" w:color="D8D0C0"/>
            </w:tcBorders>
          </w:tcPr>
          <w:p>
            <w:r>
              <w:rPr>
                <w:sz w:val="16"/>
              </w:rPr>
              <w:t>Practice-tool stickiness and premium retention</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Advertising</w:t>
            </w:r>
          </w:p>
        </w:tc>
        <w:tc>
          <w:tcPr>
            <w:tcW w:type="dxa" w:w="3360"/>
            <w:tcBorders>
              <w:top w:val="single" w:sz="8" w:space="0" w:color="D8D0C0"/>
              <w:left w:val="single" w:sz="8" w:space="0" w:color="D8D0C0"/>
              <w:bottom w:val="single" w:sz="8" w:space="0" w:color="D8D0C0"/>
              <w:right w:val="single" w:sz="8" w:space="0" w:color="D8D0C0"/>
            </w:tcBorders>
          </w:tcPr>
          <w:p>
            <w:r>
              <w:rPr>
                <w:sz w:val="16"/>
              </w:rPr>
              <w:t>Legal brands and institutions</w:t>
            </w:r>
          </w:p>
        </w:tc>
        <w:tc>
          <w:tcPr>
            <w:tcW w:type="dxa" w:w="3360"/>
            <w:tcBorders>
              <w:top w:val="single" w:sz="8" w:space="0" w:color="D8D0C0"/>
              <w:left w:val="single" w:sz="8" w:space="0" w:color="D8D0C0"/>
              <w:bottom w:val="single" w:sz="8" w:space="0" w:color="D8D0C0"/>
              <w:right w:val="single" w:sz="8" w:space="0" w:color="D8D0C0"/>
            </w:tcBorders>
          </w:tcPr>
          <w:p>
            <w:r>
              <w:rPr>
                <w:sz w:val="16"/>
              </w:rPr>
              <w:t>Campaign and sponsorship income</w:t>
            </w:r>
          </w:p>
        </w:tc>
      </w:tr>
    </w:tbl>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6. Market Analysis: Nigeria and Africa</w:t>
      </w:r>
    </w:p>
    <w:p>
      <w:pPr>
        <w:pStyle w:val="BodyText"/>
      </w:pPr>
      <w:r>
        <w:t>Nigeria's lawyer population is commonly discussed in the 200,000 to 250,000 range. This plan uses a conservative 220,000 planning midpoint for modelling. The broader African opportunity comes from legal-market digitisation, business formalisation, cross-border commerce, professional mobility and growing demand for trusted online legal discovery.</w:t>
      </w:r>
    </w:p>
    <w:p>
      <w:pPr>
        <w:pStyle w:val="ListBullet"/>
      </w:pPr>
      <w:r>
        <w:t>Nigeria first: build density with lawyers, law firms, NBA branches, clients and employers.</w:t>
      </w:r>
    </w:p>
    <w:p>
      <w:pPr>
        <w:pStyle w:val="ListBullet"/>
      </w:pPr>
      <w:r>
        <w:t>Africa next: replicate the professional-network model in markets with strong English-speaking legal ecosystems and expanding digital adoption.</w:t>
      </w:r>
    </w:p>
    <w:p>
      <w:pPr>
        <w:pStyle w:val="ListBullet"/>
      </w:pPr>
      <w:r>
        <w:t>Serviceable early market: verified Nigerian lawyers, commercial law practices, young lawyers, employers and legal institutions.</w:t>
      </w:r>
    </w:p>
    <w:p>
      <w:pPr>
        <w:pStyle w:val="ListBullet"/>
      </w:pPr>
      <w:r>
        <w:t>Expansion markets to study: Ghana, Kenya, South Africa, Rwanda, Uganda and other common-law or business-facing jurisdictions.</w:t>
      </w:r>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7. Competitor Analysis</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Competitor Type</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What They Do</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LearnedCircle Advantage</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General search engines</w:t>
            </w:r>
          </w:p>
        </w:tc>
        <w:tc>
          <w:tcPr>
            <w:tcW w:type="dxa" w:w="3360"/>
            <w:tcBorders>
              <w:top w:val="single" w:sz="8" w:space="0" w:color="D8D0C0"/>
              <w:left w:val="single" w:sz="8" w:space="0" w:color="D8D0C0"/>
              <w:bottom w:val="single" w:sz="8" w:space="0" w:color="D8D0C0"/>
              <w:right w:val="single" w:sz="8" w:space="0" w:color="D8D0C0"/>
            </w:tcBorders>
          </w:tcPr>
          <w:p>
            <w:r>
              <w:rPr>
                <w:sz w:val="16"/>
              </w:rPr>
              <w:t>Help users find law firms manually</w:t>
            </w:r>
          </w:p>
        </w:tc>
        <w:tc>
          <w:tcPr>
            <w:tcW w:type="dxa" w:w="3360"/>
            <w:tcBorders>
              <w:top w:val="single" w:sz="8" w:space="0" w:color="D8D0C0"/>
              <w:left w:val="single" w:sz="8" w:space="0" w:color="D8D0C0"/>
              <w:bottom w:val="single" w:sz="8" w:space="0" w:color="D8D0C0"/>
              <w:right w:val="single" w:sz="8" w:space="0" w:color="D8D0C0"/>
            </w:tcBorders>
          </w:tcPr>
          <w:p>
            <w:r>
              <w:rPr>
                <w:sz w:val="16"/>
              </w:rPr>
              <w:t>Purpose-built legal profiles, verification and matching</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Social media</w:t>
            </w:r>
          </w:p>
        </w:tc>
        <w:tc>
          <w:tcPr>
            <w:tcW w:type="dxa" w:w="3360"/>
            <w:tcBorders>
              <w:top w:val="single" w:sz="8" w:space="0" w:color="D8D0C0"/>
              <w:left w:val="single" w:sz="8" w:space="0" w:color="D8D0C0"/>
              <w:bottom w:val="single" w:sz="8" w:space="0" w:color="D8D0C0"/>
              <w:right w:val="single" w:sz="8" w:space="0" w:color="D8D0C0"/>
            </w:tcBorders>
          </w:tcPr>
          <w:p>
            <w:r>
              <w:rPr>
                <w:sz w:val="16"/>
              </w:rPr>
              <w:t>Professional visibility and informal networking</w:t>
            </w:r>
          </w:p>
        </w:tc>
        <w:tc>
          <w:tcPr>
            <w:tcW w:type="dxa" w:w="3360"/>
            <w:tcBorders>
              <w:top w:val="single" w:sz="8" w:space="0" w:color="D8D0C0"/>
              <w:left w:val="single" w:sz="8" w:space="0" w:color="D8D0C0"/>
              <w:bottom w:val="single" w:sz="8" w:space="0" w:color="D8D0C0"/>
              <w:right w:val="single" w:sz="8" w:space="0" w:color="D8D0C0"/>
            </w:tcBorders>
          </w:tcPr>
          <w:p>
            <w:r>
              <w:rPr>
                <w:sz w:val="16"/>
              </w:rPr>
              <w:t>Legal-specific workflows, moderation and structured discovery</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Job boards</w:t>
            </w:r>
          </w:p>
        </w:tc>
        <w:tc>
          <w:tcPr>
            <w:tcW w:type="dxa" w:w="3360"/>
            <w:tcBorders>
              <w:top w:val="single" w:sz="8" w:space="0" w:color="D8D0C0"/>
              <w:left w:val="single" w:sz="8" w:space="0" w:color="D8D0C0"/>
              <w:bottom w:val="single" w:sz="8" w:space="0" w:color="D8D0C0"/>
              <w:right w:val="single" w:sz="8" w:space="0" w:color="D8D0C0"/>
            </w:tcBorders>
          </w:tcPr>
          <w:p>
            <w:r>
              <w:rPr>
                <w:sz w:val="16"/>
              </w:rPr>
              <w:t>List vacancies</w:t>
            </w:r>
          </w:p>
        </w:tc>
        <w:tc>
          <w:tcPr>
            <w:tcW w:type="dxa" w:w="3360"/>
            <w:tcBorders>
              <w:top w:val="single" w:sz="8" w:space="0" w:color="D8D0C0"/>
              <w:left w:val="single" w:sz="8" w:space="0" w:color="D8D0C0"/>
              <w:bottom w:val="single" w:sz="8" w:space="0" w:color="D8D0C0"/>
              <w:right w:val="single" w:sz="8" w:space="0" w:color="D8D0C0"/>
            </w:tcBorders>
          </w:tcPr>
          <w:p>
            <w:r>
              <w:rPr>
                <w:sz w:val="16"/>
              </w:rPr>
              <w:t>Legal-only opportunities plus lawyer profiles and applications</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Traditional directories</w:t>
            </w:r>
          </w:p>
        </w:tc>
        <w:tc>
          <w:tcPr>
            <w:tcW w:type="dxa" w:w="3360"/>
            <w:tcBorders>
              <w:top w:val="single" w:sz="8" w:space="0" w:color="D8D0C0"/>
              <w:left w:val="single" w:sz="8" w:space="0" w:color="D8D0C0"/>
              <w:bottom w:val="single" w:sz="8" w:space="0" w:color="D8D0C0"/>
              <w:right w:val="single" w:sz="8" w:space="0" w:color="D8D0C0"/>
            </w:tcBorders>
          </w:tcPr>
          <w:p>
            <w:r>
              <w:rPr>
                <w:sz w:val="16"/>
              </w:rPr>
              <w:t>Static listings</w:t>
            </w:r>
          </w:p>
        </w:tc>
        <w:tc>
          <w:tcPr>
            <w:tcW w:type="dxa" w:w="3360"/>
            <w:tcBorders>
              <w:top w:val="single" w:sz="8" w:space="0" w:color="D8D0C0"/>
              <w:left w:val="single" w:sz="8" w:space="0" w:color="D8D0C0"/>
              <w:bottom w:val="single" w:sz="8" w:space="0" w:color="D8D0C0"/>
              <w:right w:val="single" w:sz="8" w:space="0" w:color="D8D0C0"/>
            </w:tcBorders>
          </w:tcPr>
          <w:p>
            <w:r>
              <w:rPr>
                <w:sz w:val="16"/>
              </w:rPr>
              <w:t>Publishing, chat, mentorship, invoices, adverts and content</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WhatsApp/referrals</w:t>
            </w:r>
          </w:p>
        </w:tc>
        <w:tc>
          <w:tcPr>
            <w:tcW w:type="dxa" w:w="3360"/>
            <w:tcBorders>
              <w:top w:val="single" w:sz="8" w:space="0" w:color="D8D0C0"/>
              <w:left w:val="single" w:sz="8" w:space="0" w:color="D8D0C0"/>
              <w:bottom w:val="single" w:sz="8" w:space="0" w:color="D8D0C0"/>
              <w:right w:val="single" w:sz="8" w:space="0" w:color="D8D0C0"/>
            </w:tcBorders>
          </w:tcPr>
          <w:p>
            <w:r>
              <w:rPr>
                <w:sz w:val="16"/>
              </w:rPr>
              <w:t>Informal trust networks</w:t>
            </w:r>
          </w:p>
        </w:tc>
        <w:tc>
          <w:tcPr>
            <w:tcW w:type="dxa" w:w="3360"/>
            <w:tcBorders>
              <w:top w:val="single" w:sz="8" w:space="0" w:color="D8D0C0"/>
              <w:left w:val="single" w:sz="8" w:space="0" w:color="D8D0C0"/>
              <w:bottom w:val="single" w:sz="8" w:space="0" w:color="D8D0C0"/>
              <w:right w:val="single" w:sz="8" w:space="0" w:color="D8D0C0"/>
            </w:tcBorders>
          </w:tcPr>
          <w:p>
            <w:r>
              <w:rPr>
                <w:sz w:val="16"/>
              </w:rPr>
              <w:t>Searchable, documented and scalable professional network</w:t>
            </w:r>
          </w:p>
        </w:tc>
      </w:tr>
    </w:tbl>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8. Revenue Model</w:t>
      </w:r>
    </w:p>
    <w:p>
      <w:pPr>
        <w:pStyle w:val="ListBullet"/>
      </w:pPr>
      <w:r>
        <w:t>Premium lawyer subscriptions at N10,000 monthly or N100,000 yearly.</w:t>
      </w:r>
    </w:p>
    <w:p>
      <w:pPr>
        <w:pStyle w:val="ListBullet"/>
      </w:pPr>
      <w:r>
        <w:t>Featured lawyer placements and profile boosts.</w:t>
      </w:r>
    </w:p>
    <w:p>
      <w:pPr>
        <w:pStyle w:val="ListBullet"/>
      </w:pPr>
      <w:r>
        <w:t>Employer job posting and opportunity adverts.</w:t>
      </w:r>
    </w:p>
    <w:p>
      <w:pPr>
        <w:pStyle w:val="ListBullet"/>
      </w:pPr>
      <w:r>
        <w:t>Paid display adverts and sponsored legal content.</w:t>
      </w:r>
    </w:p>
    <w:p>
      <w:pPr>
        <w:pStyle w:val="ListBullet"/>
      </w:pPr>
      <w:r>
        <w:t>Business invoice access bundled into premium and later expandable as a paid tool.</w:t>
      </w:r>
    </w:p>
    <w:p>
      <w:pPr>
        <w:pStyle w:val="ListBullet"/>
      </w:pPr>
      <w:r>
        <w:t>Future revenue: CLE partnerships, institutional directories, recruitment services, data products and AI-assisted professional tools.</w:t>
      </w:r>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9. Marketing Strategy</w:t>
      </w:r>
    </w:p>
    <w:p>
      <w:pPr>
        <w:pStyle w:val="ListBullet"/>
      </w:pPr>
      <w:r>
        <w:t>NBA branch outreach and targeted onboarding of respected senior lawyers.</w:t>
      </w:r>
    </w:p>
    <w:p>
      <w:pPr>
        <w:pStyle w:val="ListBullet"/>
      </w:pPr>
      <w:r>
        <w:t>Founding mentor programme for SANs, retired judges, partners and senior practitioners.</w:t>
      </w:r>
    </w:p>
    <w:p>
      <w:pPr>
        <w:pStyle w:val="ListBullet"/>
      </w:pPr>
      <w:r>
        <w:t>Content-led growth through LegalCircle articles, debate, legal news and guest blogs.</w:t>
      </w:r>
    </w:p>
    <w:p>
      <w:pPr>
        <w:pStyle w:val="ListBullet"/>
      </w:pPr>
      <w:r>
        <w:t>Practice-area campaigns for corporate law, tax, property, employment, litigation, data protection, IP and arbitration.</w:t>
      </w:r>
    </w:p>
    <w:p>
      <w:pPr>
        <w:pStyle w:val="ListBullet"/>
      </w:pPr>
      <w:r>
        <w:t>Employer partnerships with companies, law firms, startups and professional-service organisations.</w:t>
      </w:r>
    </w:p>
    <w:p>
      <w:pPr>
        <w:pStyle w:val="ListBullet"/>
      </w:pPr>
      <w:r>
        <w:t>Referral loops: lawyers invite colleagues, mentees follow mentors, clients share successful searches.</w:t>
      </w:r>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10. Technology Stack</w:t>
      </w:r>
    </w:p>
    <w:p>
      <w:pPr>
        <w:pStyle w:val="ListBullet"/>
      </w:pPr>
      <w:r>
        <w:t>Frontend: clean static-first web experience deployed on Vercel.</w:t>
      </w:r>
    </w:p>
    <w:p>
      <w:pPr>
        <w:pStyle w:val="ListBullet"/>
      </w:pPr>
      <w:r>
        <w:t>Database and authentication foundation: Supabase.</w:t>
      </w:r>
    </w:p>
    <w:p>
      <w:pPr>
        <w:pStyle w:val="ListBullet"/>
      </w:pPr>
      <w:r>
        <w:t>Email notifications: Resend, subject to domain verification and production configuration.</w:t>
      </w:r>
    </w:p>
    <w:p>
      <w:pPr>
        <w:pStyle w:val="ListBullet"/>
      </w:pPr>
      <w:r>
        <w:t>Payments: payment provider integration planned for automatic premium activation after confirmed payment.</w:t>
      </w:r>
    </w:p>
    <w:p>
      <w:pPr>
        <w:pStyle w:val="ListBullet"/>
      </w:pPr>
      <w:r>
        <w:t>Admin: moderation, lawyer verification, guest blog publishing, reports and premium-status oversight.</w:t>
      </w:r>
    </w:p>
    <w:p>
      <w:pPr>
        <w:pStyle w:val="ListBullet"/>
      </w:pPr>
      <w:r>
        <w:t>Future: mobile app, AI legal assistant, analytics dashboards and secured document workflows.</w:t>
      </w:r>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11. Business Model</w:t>
      </w:r>
    </w:p>
    <w:p>
      <w:pPr>
        <w:pStyle w:val="BodyText"/>
      </w:pPr>
      <w:r>
        <w:t>The model is subscription-first, marketplace-second. Recurring premium subscriptions provide predictable revenue, while jobs, adverts, sponsorships and professional tools increase average revenue per user.</w:t>
      </w:r>
    </w:p>
    <w:p>
      <w:pPr>
        <w:pStyle w:val="ListBullet"/>
      </w:pPr>
      <w:r>
        <w:t>Free registration builds network volume.</w:t>
      </w:r>
    </w:p>
    <w:p>
      <w:pPr>
        <w:pStyle w:val="ListBullet"/>
      </w:pPr>
      <w:r>
        <w:t>Verification and premium benefits create conversion pressure.</w:t>
      </w:r>
    </w:p>
    <w:p>
      <w:pPr>
        <w:pStyle w:val="ListBullet"/>
      </w:pPr>
      <w:r>
        <w:t>Content and mentorship increase professional engagement.</w:t>
      </w:r>
    </w:p>
    <w:p>
      <w:pPr>
        <w:pStyle w:val="ListBullet"/>
      </w:pPr>
      <w:r>
        <w:t>Jobs and adverts monetize marketplace traffic.</w:t>
      </w:r>
    </w:p>
    <w:p>
      <w:pPr>
        <w:pStyle w:val="ListBullet"/>
      </w:pPr>
      <w:r>
        <w:t>Invoices and dashboards improve retention for lawyers and firms.</w:t>
      </w:r>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12. Five-Year Growth Strategy</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Year</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Priority</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Expected Milestone</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Year 1</w:t>
            </w:r>
          </w:p>
        </w:tc>
        <w:tc>
          <w:tcPr>
            <w:tcW w:type="dxa" w:w="3360"/>
            <w:tcBorders>
              <w:top w:val="single" w:sz="8" w:space="0" w:color="D8D0C0"/>
              <w:left w:val="single" w:sz="8" w:space="0" w:color="D8D0C0"/>
              <w:bottom w:val="single" w:sz="8" w:space="0" w:color="D8D0C0"/>
              <w:right w:val="single" w:sz="8" w:space="0" w:color="D8D0C0"/>
            </w:tcBorders>
          </w:tcPr>
          <w:p>
            <w:r>
              <w:rPr>
                <w:sz w:val="16"/>
              </w:rPr>
              <w:t>Nigeria launch and credibility</w:t>
            </w:r>
          </w:p>
        </w:tc>
        <w:tc>
          <w:tcPr>
            <w:tcW w:type="dxa" w:w="3360"/>
            <w:tcBorders>
              <w:top w:val="single" w:sz="8" w:space="0" w:color="D8D0C0"/>
              <w:left w:val="single" w:sz="8" w:space="0" w:color="D8D0C0"/>
              <w:bottom w:val="single" w:sz="8" w:space="0" w:color="D8D0C0"/>
              <w:right w:val="single" w:sz="8" w:space="0" w:color="D8D0C0"/>
            </w:tcBorders>
          </w:tcPr>
          <w:p>
            <w:r>
              <w:rPr>
                <w:sz w:val="16"/>
              </w:rPr>
              <w:t>First verified lawyers, premium users, jobs, content and mentors</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Year 2</w:t>
            </w:r>
          </w:p>
        </w:tc>
        <w:tc>
          <w:tcPr>
            <w:tcW w:type="dxa" w:w="3360"/>
            <w:tcBorders>
              <w:top w:val="single" w:sz="8" w:space="0" w:color="D8D0C0"/>
              <w:left w:val="single" w:sz="8" w:space="0" w:color="D8D0C0"/>
              <w:bottom w:val="single" w:sz="8" w:space="0" w:color="D8D0C0"/>
              <w:right w:val="single" w:sz="8" w:space="0" w:color="D8D0C0"/>
            </w:tcBorders>
          </w:tcPr>
          <w:p>
            <w:r>
              <w:rPr>
                <w:sz w:val="16"/>
              </w:rPr>
              <w:t>National expansion</w:t>
            </w:r>
          </w:p>
        </w:tc>
        <w:tc>
          <w:tcPr>
            <w:tcW w:type="dxa" w:w="3360"/>
            <w:tcBorders>
              <w:top w:val="single" w:sz="8" w:space="0" w:color="D8D0C0"/>
              <w:left w:val="single" w:sz="8" w:space="0" w:color="D8D0C0"/>
              <w:bottom w:val="single" w:sz="8" w:space="0" w:color="D8D0C0"/>
              <w:right w:val="single" w:sz="8" w:space="0" w:color="D8D0C0"/>
            </w:tcBorders>
          </w:tcPr>
          <w:p>
            <w:r>
              <w:rPr>
                <w:sz w:val="16"/>
              </w:rPr>
              <w:t>NBA branch partnerships, employer pipeline and stronger content operation</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Year 3</w:t>
            </w:r>
          </w:p>
        </w:tc>
        <w:tc>
          <w:tcPr>
            <w:tcW w:type="dxa" w:w="3360"/>
            <w:tcBorders>
              <w:top w:val="single" w:sz="8" w:space="0" w:color="D8D0C0"/>
              <w:left w:val="single" w:sz="8" w:space="0" w:color="D8D0C0"/>
              <w:bottom w:val="single" w:sz="8" w:space="0" w:color="D8D0C0"/>
              <w:right w:val="single" w:sz="8" w:space="0" w:color="D8D0C0"/>
            </w:tcBorders>
          </w:tcPr>
          <w:p>
            <w:r>
              <w:rPr>
                <w:sz w:val="16"/>
              </w:rPr>
              <w:t>Product depth</w:t>
            </w:r>
          </w:p>
        </w:tc>
        <w:tc>
          <w:tcPr>
            <w:tcW w:type="dxa" w:w="3360"/>
            <w:tcBorders>
              <w:top w:val="single" w:sz="8" w:space="0" w:color="D8D0C0"/>
              <w:left w:val="single" w:sz="8" w:space="0" w:color="D8D0C0"/>
              <w:bottom w:val="single" w:sz="8" w:space="0" w:color="D8D0C0"/>
              <w:right w:val="single" w:sz="8" w:space="0" w:color="D8D0C0"/>
            </w:tcBorders>
          </w:tcPr>
          <w:p>
            <w:r>
              <w:rPr>
                <w:sz w:val="16"/>
              </w:rPr>
              <w:t>Mobile app, AI assistant, advanced verification and firm tools</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Year 4</w:t>
            </w:r>
          </w:p>
        </w:tc>
        <w:tc>
          <w:tcPr>
            <w:tcW w:type="dxa" w:w="3360"/>
            <w:tcBorders>
              <w:top w:val="single" w:sz="8" w:space="0" w:color="D8D0C0"/>
              <w:left w:val="single" w:sz="8" w:space="0" w:color="D8D0C0"/>
              <w:bottom w:val="single" w:sz="8" w:space="0" w:color="D8D0C0"/>
              <w:right w:val="single" w:sz="8" w:space="0" w:color="D8D0C0"/>
            </w:tcBorders>
          </w:tcPr>
          <w:p>
            <w:r>
              <w:rPr>
                <w:sz w:val="16"/>
              </w:rPr>
              <w:t>Regional readiness</w:t>
            </w:r>
          </w:p>
        </w:tc>
        <w:tc>
          <w:tcPr>
            <w:tcW w:type="dxa" w:w="3360"/>
            <w:tcBorders>
              <w:top w:val="single" w:sz="8" w:space="0" w:color="D8D0C0"/>
              <w:left w:val="single" w:sz="8" w:space="0" w:color="D8D0C0"/>
              <w:bottom w:val="single" w:sz="8" w:space="0" w:color="D8D0C0"/>
              <w:right w:val="single" w:sz="8" w:space="0" w:color="D8D0C0"/>
            </w:tcBorders>
          </w:tcPr>
          <w:p>
            <w:r>
              <w:rPr>
                <w:sz w:val="16"/>
              </w:rPr>
              <w:t>Pilot expansion into selected African markets</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Year 5</w:t>
            </w:r>
          </w:p>
        </w:tc>
        <w:tc>
          <w:tcPr>
            <w:tcW w:type="dxa" w:w="3360"/>
            <w:tcBorders>
              <w:top w:val="single" w:sz="8" w:space="0" w:color="D8D0C0"/>
              <w:left w:val="single" w:sz="8" w:space="0" w:color="D8D0C0"/>
              <w:bottom w:val="single" w:sz="8" w:space="0" w:color="D8D0C0"/>
              <w:right w:val="single" w:sz="8" w:space="0" w:color="D8D0C0"/>
            </w:tcBorders>
          </w:tcPr>
          <w:p>
            <w:r>
              <w:rPr>
                <w:sz w:val="16"/>
              </w:rPr>
              <w:t>Africa network</w:t>
            </w:r>
          </w:p>
        </w:tc>
        <w:tc>
          <w:tcPr>
            <w:tcW w:type="dxa" w:w="3360"/>
            <w:tcBorders>
              <w:top w:val="single" w:sz="8" w:space="0" w:color="D8D0C0"/>
              <w:left w:val="single" w:sz="8" w:space="0" w:color="D8D0C0"/>
              <w:bottom w:val="single" w:sz="8" w:space="0" w:color="D8D0C0"/>
              <w:right w:val="single" w:sz="8" w:space="0" w:color="D8D0C0"/>
            </w:tcBorders>
          </w:tcPr>
          <w:p>
            <w:r>
              <w:rPr>
                <w:sz w:val="16"/>
              </w:rPr>
              <w:t>Multi-country legal professional network with institutional partnerships</w:t>
            </w:r>
          </w:p>
        </w:tc>
      </w:tr>
    </w:tbl>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13. Financial Projections</w:t>
      </w:r>
    </w:p>
    <w:p>
      <w:pPr>
        <w:pStyle w:val="BodyText"/>
      </w:pPr>
      <w:r>
        <w:t>The base case assumes a 220,000 Nigerian lawyer planning market, 10% lawyer onboarding and 20% premium conversion among onboarded lawyers. Pricing uses N100,000 yearly premium membership for clean annualized modelling.</w:t>
      </w:r>
    </w:p>
    <w:tbl>
      <w:tblPr>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680"/>
            <w:shd w:fill="132620"/>
            <w:tcBorders>
              <w:top w:val="single" w:sz="8" w:space="0" w:color="D8D0C0"/>
              <w:left w:val="single" w:sz="8" w:space="0" w:color="D8D0C0"/>
              <w:bottom w:val="single" w:sz="8" w:space="0" w:color="D8D0C0"/>
              <w:right w:val="single" w:sz="8" w:space="0" w:color="D8D0C0"/>
            </w:tcBorders>
          </w:tcPr>
          <w:p>
            <w:r>
              <w:rPr>
                <w:b/>
                <w:color w:val="FFFFFF"/>
                <w:sz w:val="17"/>
              </w:rPr>
              <w:t>Scenario</w:t>
            </w:r>
          </w:p>
        </w:tc>
        <w:tc>
          <w:tcPr>
            <w:tcW w:type="dxa" w:w="1680"/>
            <w:shd w:fill="132620"/>
            <w:tcBorders>
              <w:top w:val="single" w:sz="8" w:space="0" w:color="D8D0C0"/>
              <w:left w:val="single" w:sz="8" w:space="0" w:color="D8D0C0"/>
              <w:bottom w:val="single" w:sz="8" w:space="0" w:color="D8D0C0"/>
              <w:right w:val="single" w:sz="8" w:space="0" w:color="D8D0C0"/>
            </w:tcBorders>
          </w:tcPr>
          <w:p>
            <w:r>
              <w:rPr>
                <w:b/>
                <w:color w:val="FFFFFF"/>
                <w:sz w:val="17"/>
              </w:rPr>
              <w:t>Lawyers onboarded</w:t>
            </w:r>
          </w:p>
        </w:tc>
        <w:tc>
          <w:tcPr>
            <w:tcW w:type="dxa" w:w="1680"/>
            <w:shd w:fill="132620"/>
            <w:tcBorders>
              <w:top w:val="single" w:sz="8" w:space="0" w:color="D8D0C0"/>
              <w:left w:val="single" w:sz="8" w:space="0" w:color="D8D0C0"/>
              <w:bottom w:val="single" w:sz="8" w:space="0" w:color="D8D0C0"/>
              <w:right w:val="single" w:sz="8" w:space="0" w:color="D8D0C0"/>
            </w:tcBorders>
          </w:tcPr>
          <w:p>
            <w:r>
              <w:rPr>
                <w:b/>
                <w:color w:val="FFFFFF"/>
                <w:sz w:val="17"/>
              </w:rPr>
              <w:t>Premium lawyers</w:t>
            </w:r>
          </w:p>
        </w:tc>
        <w:tc>
          <w:tcPr>
            <w:tcW w:type="dxa" w:w="1680"/>
            <w:shd w:fill="132620"/>
            <w:tcBorders>
              <w:top w:val="single" w:sz="8" w:space="0" w:color="D8D0C0"/>
              <w:left w:val="single" w:sz="8" w:space="0" w:color="D8D0C0"/>
              <w:bottom w:val="single" w:sz="8" w:space="0" w:color="D8D0C0"/>
              <w:right w:val="single" w:sz="8" w:space="0" w:color="D8D0C0"/>
            </w:tcBorders>
          </w:tcPr>
          <w:p>
            <w:r>
              <w:rPr>
                <w:b/>
                <w:color w:val="FFFFFF"/>
                <w:sz w:val="17"/>
              </w:rPr>
              <w:t>Premium ARR</w:t>
            </w:r>
          </w:p>
        </w:tc>
        <w:tc>
          <w:tcPr>
            <w:tcW w:type="dxa" w:w="1680"/>
            <w:shd w:fill="132620"/>
            <w:tcBorders>
              <w:top w:val="single" w:sz="8" w:space="0" w:color="D8D0C0"/>
              <w:left w:val="single" w:sz="8" w:space="0" w:color="D8D0C0"/>
              <w:bottom w:val="single" w:sz="8" w:space="0" w:color="D8D0C0"/>
              <w:right w:val="single" w:sz="8" w:space="0" w:color="D8D0C0"/>
            </w:tcBorders>
          </w:tcPr>
          <w:p>
            <w:r>
              <w:rPr>
                <w:b/>
                <w:color w:val="FFFFFF"/>
                <w:sz w:val="17"/>
              </w:rPr>
              <w:t>Jobs + adverts</w:t>
            </w:r>
          </w:p>
        </w:tc>
        <w:tc>
          <w:tcPr>
            <w:tcW w:type="dxa" w:w="1680"/>
            <w:shd w:fill="132620"/>
            <w:tcBorders>
              <w:top w:val="single" w:sz="8" w:space="0" w:color="D8D0C0"/>
              <w:left w:val="single" w:sz="8" w:space="0" w:color="D8D0C0"/>
              <w:bottom w:val="single" w:sz="8" w:space="0" w:color="D8D0C0"/>
              <w:right w:val="single" w:sz="8" w:space="0" w:color="D8D0C0"/>
            </w:tcBorders>
          </w:tcPr>
          <w:p>
            <w:r>
              <w:rPr>
                <w:b/>
                <w:color w:val="FFFFFF"/>
                <w:sz w:val="17"/>
              </w:rPr>
              <w:t>Total annual potential</w:t>
            </w:r>
          </w:p>
        </w:tc>
      </w:tr>
      <w:tr>
        <w:tc>
          <w:tcPr>
            <w:tcW w:type="dxa" w:w="1680"/>
            <w:tcBorders>
              <w:top w:val="single" w:sz="8" w:space="0" w:color="D8D0C0"/>
              <w:left w:val="single" w:sz="8" w:space="0" w:color="D8D0C0"/>
              <w:bottom w:val="single" w:sz="8" w:space="0" w:color="D8D0C0"/>
              <w:right w:val="single" w:sz="8" w:space="0" w:color="D8D0C0"/>
            </w:tcBorders>
          </w:tcPr>
          <w:p>
            <w:r>
              <w:rPr>
                <w:sz w:val="16"/>
              </w:rPr>
              <w:t>Conservative</w:t>
            </w:r>
          </w:p>
        </w:tc>
        <w:tc>
          <w:tcPr>
            <w:tcW w:type="dxa" w:w="1680"/>
            <w:tcBorders>
              <w:top w:val="single" w:sz="8" w:space="0" w:color="D8D0C0"/>
              <w:left w:val="single" w:sz="8" w:space="0" w:color="D8D0C0"/>
              <w:bottom w:val="single" w:sz="8" w:space="0" w:color="D8D0C0"/>
              <w:right w:val="single" w:sz="8" w:space="0" w:color="D8D0C0"/>
            </w:tcBorders>
          </w:tcPr>
          <w:p>
            <w:r>
              <w:rPr>
                <w:sz w:val="16"/>
              </w:rPr>
              <w:t>11,000</w:t>
            </w:r>
          </w:p>
        </w:tc>
        <w:tc>
          <w:tcPr>
            <w:tcW w:type="dxa" w:w="1680"/>
            <w:tcBorders>
              <w:top w:val="single" w:sz="8" w:space="0" w:color="D8D0C0"/>
              <w:left w:val="single" w:sz="8" w:space="0" w:color="D8D0C0"/>
              <w:bottom w:val="single" w:sz="8" w:space="0" w:color="D8D0C0"/>
              <w:right w:val="single" w:sz="8" w:space="0" w:color="D8D0C0"/>
            </w:tcBorders>
          </w:tcPr>
          <w:p>
            <w:r>
              <w:rPr>
                <w:sz w:val="16"/>
              </w:rPr>
              <w:t>1,100</w:t>
            </w:r>
          </w:p>
        </w:tc>
        <w:tc>
          <w:tcPr>
            <w:tcW w:type="dxa" w:w="1680"/>
            <w:tcBorders>
              <w:top w:val="single" w:sz="8" w:space="0" w:color="D8D0C0"/>
              <w:left w:val="single" w:sz="8" w:space="0" w:color="D8D0C0"/>
              <w:bottom w:val="single" w:sz="8" w:space="0" w:color="D8D0C0"/>
              <w:right w:val="single" w:sz="8" w:space="0" w:color="D8D0C0"/>
            </w:tcBorders>
          </w:tcPr>
          <w:p>
            <w:r>
              <w:rPr>
                <w:sz w:val="16"/>
              </w:rPr>
              <w:t>N110m</w:t>
            </w:r>
          </w:p>
        </w:tc>
        <w:tc>
          <w:tcPr>
            <w:tcW w:type="dxa" w:w="1680"/>
            <w:tcBorders>
              <w:top w:val="single" w:sz="8" w:space="0" w:color="D8D0C0"/>
              <w:left w:val="single" w:sz="8" w:space="0" w:color="D8D0C0"/>
              <w:bottom w:val="single" w:sz="8" w:space="0" w:color="D8D0C0"/>
              <w:right w:val="single" w:sz="8" w:space="0" w:color="D8D0C0"/>
            </w:tcBorders>
          </w:tcPr>
          <w:p>
            <w:r>
              <w:rPr>
                <w:sz w:val="16"/>
              </w:rPr>
              <w:t>N25m</w:t>
            </w:r>
          </w:p>
        </w:tc>
        <w:tc>
          <w:tcPr>
            <w:tcW w:type="dxa" w:w="1680"/>
            <w:tcBorders>
              <w:top w:val="single" w:sz="8" w:space="0" w:color="D8D0C0"/>
              <w:left w:val="single" w:sz="8" w:space="0" w:color="D8D0C0"/>
              <w:bottom w:val="single" w:sz="8" w:space="0" w:color="D8D0C0"/>
              <w:right w:val="single" w:sz="8" w:space="0" w:color="D8D0C0"/>
            </w:tcBorders>
          </w:tcPr>
          <w:p>
            <w:r>
              <w:rPr>
                <w:sz w:val="16"/>
              </w:rPr>
              <w:t>N135m</w:t>
            </w:r>
          </w:p>
        </w:tc>
      </w:tr>
      <w:tr>
        <w:tc>
          <w:tcPr>
            <w:tcW w:type="dxa" w:w="1680"/>
            <w:tcBorders>
              <w:top w:val="single" w:sz="8" w:space="0" w:color="D8D0C0"/>
              <w:left w:val="single" w:sz="8" w:space="0" w:color="D8D0C0"/>
              <w:bottom w:val="single" w:sz="8" w:space="0" w:color="D8D0C0"/>
              <w:right w:val="single" w:sz="8" w:space="0" w:color="D8D0C0"/>
            </w:tcBorders>
          </w:tcPr>
          <w:p>
            <w:r>
              <w:rPr>
                <w:sz w:val="16"/>
              </w:rPr>
              <w:t>Base case</w:t>
            </w:r>
          </w:p>
        </w:tc>
        <w:tc>
          <w:tcPr>
            <w:tcW w:type="dxa" w:w="1680"/>
            <w:tcBorders>
              <w:top w:val="single" w:sz="8" w:space="0" w:color="D8D0C0"/>
              <w:left w:val="single" w:sz="8" w:space="0" w:color="D8D0C0"/>
              <w:bottom w:val="single" w:sz="8" w:space="0" w:color="D8D0C0"/>
              <w:right w:val="single" w:sz="8" w:space="0" w:color="D8D0C0"/>
            </w:tcBorders>
          </w:tcPr>
          <w:p>
            <w:r>
              <w:rPr>
                <w:sz w:val="16"/>
              </w:rPr>
              <w:t>22,000</w:t>
            </w:r>
          </w:p>
        </w:tc>
        <w:tc>
          <w:tcPr>
            <w:tcW w:type="dxa" w:w="1680"/>
            <w:tcBorders>
              <w:top w:val="single" w:sz="8" w:space="0" w:color="D8D0C0"/>
              <w:left w:val="single" w:sz="8" w:space="0" w:color="D8D0C0"/>
              <w:bottom w:val="single" w:sz="8" w:space="0" w:color="D8D0C0"/>
              <w:right w:val="single" w:sz="8" w:space="0" w:color="D8D0C0"/>
            </w:tcBorders>
          </w:tcPr>
          <w:p>
            <w:r>
              <w:rPr>
                <w:sz w:val="16"/>
              </w:rPr>
              <w:t>4,400</w:t>
            </w:r>
          </w:p>
        </w:tc>
        <w:tc>
          <w:tcPr>
            <w:tcW w:type="dxa" w:w="1680"/>
            <w:tcBorders>
              <w:top w:val="single" w:sz="8" w:space="0" w:color="D8D0C0"/>
              <w:left w:val="single" w:sz="8" w:space="0" w:color="D8D0C0"/>
              <w:bottom w:val="single" w:sz="8" w:space="0" w:color="D8D0C0"/>
              <w:right w:val="single" w:sz="8" w:space="0" w:color="D8D0C0"/>
            </w:tcBorders>
          </w:tcPr>
          <w:p>
            <w:r>
              <w:rPr>
                <w:sz w:val="16"/>
              </w:rPr>
              <w:t>N440m</w:t>
            </w:r>
          </w:p>
        </w:tc>
        <w:tc>
          <w:tcPr>
            <w:tcW w:type="dxa" w:w="1680"/>
            <w:tcBorders>
              <w:top w:val="single" w:sz="8" w:space="0" w:color="D8D0C0"/>
              <w:left w:val="single" w:sz="8" w:space="0" w:color="D8D0C0"/>
              <w:bottom w:val="single" w:sz="8" w:space="0" w:color="D8D0C0"/>
              <w:right w:val="single" w:sz="8" w:space="0" w:color="D8D0C0"/>
            </w:tcBorders>
          </w:tcPr>
          <w:p>
            <w:r>
              <w:rPr>
                <w:sz w:val="16"/>
              </w:rPr>
              <w:t>N80m</w:t>
            </w:r>
          </w:p>
        </w:tc>
        <w:tc>
          <w:tcPr>
            <w:tcW w:type="dxa" w:w="1680"/>
            <w:tcBorders>
              <w:top w:val="single" w:sz="8" w:space="0" w:color="D8D0C0"/>
              <w:left w:val="single" w:sz="8" w:space="0" w:color="D8D0C0"/>
              <w:bottom w:val="single" w:sz="8" w:space="0" w:color="D8D0C0"/>
              <w:right w:val="single" w:sz="8" w:space="0" w:color="D8D0C0"/>
            </w:tcBorders>
          </w:tcPr>
          <w:p>
            <w:r>
              <w:rPr>
                <w:sz w:val="16"/>
              </w:rPr>
              <w:t>N520m</w:t>
            </w:r>
          </w:p>
        </w:tc>
      </w:tr>
      <w:tr>
        <w:tc>
          <w:tcPr>
            <w:tcW w:type="dxa" w:w="1680"/>
            <w:tcBorders>
              <w:top w:val="single" w:sz="8" w:space="0" w:color="D8D0C0"/>
              <w:left w:val="single" w:sz="8" w:space="0" w:color="D8D0C0"/>
              <w:bottom w:val="single" w:sz="8" w:space="0" w:color="D8D0C0"/>
              <w:right w:val="single" w:sz="8" w:space="0" w:color="D8D0C0"/>
            </w:tcBorders>
          </w:tcPr>
          <w:p>
            <w:r>
              <w:rPr>
                <w:sz w:val="16"/>
              </w:rPr>
              <w:t>Upside</w:t>
            </w:r>
          </w:p>
        </w:tc>
        <w:tc>
          <w:tcPr>
            <w:tcW w:type="dxa" w:w="1680"/>
            <w:tcBorders>
              <w:top w:val="single" w:sz="8" w:space="0" w:color="D8D0C0"/>
              <w:left w:val="single" w:sz="8" w:space="0" w:color="D8D0C0"/>
              <w:bottom w:val="single" w:sz="8" w:space="0" w:color="D8D0C0"/>
              <w:right w:val="single" w:sz="8" w:space="0" w:color="D8D0C0"/>
            </w:tcBorders>
          </w:tcPr>
          <w:p>
            <w:r>
              <w:rPr>
                <w:sz w:val="16"/>
              </w:rPr>
              <w:t>44,000</w:t>
            </w:r>
          </w:p>
        </w:tc>
        <w:tc>
          <w:tcPr>
            <w:tcW w:type="dxa" w:w="1680"/>
            <w:tcBorders>
              <w:top w:val="single" w:sz="8" w:space="0" w:color="D8D0C0"/>
              <w:left w:val="single" w:sz="8" w:space="0" w:color="D8D0C0"/>
              <w:bottom w:val="single" w:sz="8" w:space="0" w:color="D8D0C0"/>
              <w:right w:val="single" w:sz="8" w:space="0" w:color="D8D0C0"/>
            </w:tcBorders>
          </w:tcPr>
          <w:p>
            <w:r>
              <w:rPr>
                <w:sz w:val="16"/>
              </w:rPr>
              <w:t>13,200</w:t>
            </w:r>
          </w:p>
        </w:tc>
        <w:tc>
          <w:tcPr>
            <w:tcW w:type="dxa" w:w="1680"/>
            <w:tcBorders>
              <w:top w:val="single" w:sz="8" w:space="0" w:color="D8D0C0"/>
              <w:left w:val="single" w:sz="8" w:space="0" w:color="D8D0C0"/>
              <w:bottom w:val="single" w:sz="8" w:space="0" w:color="D8D0C0"/>
              <w:right w:val="single" w:sz="8" w:space="0" w:color="D8D0C0"/>
            </w:tcBorders>
          </w:tcPr>
          <w:p>
            <w:r>
              <w:rPr>
                <w:sz w:val="16"/>
              </w:rPr>
              <w:t>N1.32bn</w:t>
            </w:r>
          </w:p>
        </w:tc>
        <w:tc>
          <w:tcPr>
            <w:tcW w:type="dxa" w:w="1680"/>
            <w:tcBorders>
              <w:top w:val="single" w:sz="8" w:space="0" w:color="D8D0C0"/>
              <w:left w:val="single" w:sz="8" w:space="0" w:color="D8D0C0"/>
              <w:bottom w:val="single" w:sz="8" w:space="0" w:color="D8D0C0"/>
              <w:right w:val="single" w:sz="8" w:space="0" w:color="D8D0C0"/>
            </w:tcBorders>
          </w:tcPr>
          <w:p>
            <w:r>
              <w:rPr>
                <w:sz w:val="16"/>
              </w:rPr>
              <w:t>N200m</w:t>
            </w:r>
          </w:p>
        </w:tc>
        <w:tc>
          <w:tcPr>
            <w:tcW w:type="dxa" w:w="1680"/>
            <w:tcBorders>
              <w:top w:val="single" w:sz="8" w:space="0" w:color="D8D0C0"/>
              <w:left w:val="single" w:sz="8" w:space="0" w:color="D8D0C0"/>
              <w:bottom w:val="single" w:sz="8" w:space="0" w:color="D8D0C0"/>
              <w:right w:val="single" w:sz="8" w:space="0" w:color="D8D0C0"/>
            </w:tcBorders>
          </w:tcPr>
          <w:p>
            <w:r>
              <w:rPr>
                <w:sz w:val="16"/>
              </w:rPr>
              <w:t>N1.52bn</w:t>
            </w:r>
          </w:p>
        </w:tc>
      </w:tr>
    </w:tbl>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14. Risk Analysis</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Risk</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Impact</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Mitigation</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Slow lawyer adoption</w:t>
            </w:r>
          </w:p>
        </w:tc>
        <w:tc>
          <w:tcPr>
            <w:tcW w:type="dxa" w:w="3360"/>
            <w:tcBorders>
              <w:top w:val="single" w:sz="8" w:space="0" w:color="D8D0C0"/>
              <w:left w:val="single" w:sz="8" w:space="0" w:color="D8D0C0"/>
              <w:bottom w:val="single" w:sz="8" w:space="0" w:color="D8D0C0"/>
              <w:right w:val="single" w:sz="8" w:space="0" w:color="D8D0C0"/>
            </w:tcBorders>
          </w:tcPr>
          <w:p>
            <w:r>
              <w:rPr>
                <w:sz w:val="16"/>
              </w:rPr>
              <w:t>Lower subscription growth</w:t>
            </w:r>
          </w:p>
        </w:tc>
        <w:tc>
          <w:tcPr>
            <w:tcW w:type="dxa" w:w="3360"/>
            <w:tcBorders>
              <w:top w:val="single" w:sz="8" w:space="0" w:color="D8D0C0"/>
              <w:left w:val="single" w:sz="8" w:space="0" w:color="D8D0C0"/>
              <w:bottom w:val="single" w:sz="8" w:space="0" w:color="D8D0C0"/>
              <w:right w:val="single" w:sz="8" w:space="0" w:color="D8D0C0"/>
            </w:tcBorders>
          </w:tcPr>
          <w:p>
            <w:r>
              <w:rPr>
                <w:sz w:val="16"/>
              </w:rPr>
              <w:t>Founder-led outreach, branch partnerships, senior-lawyer credibility</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Verification burden</w:t>
            </w:r>
          </w:p>
        </w:tc>
        <w:tc>
          <w:tcPr>
            <w:tcW w:type="dxa" w:w="3360"/>
            <w:tcBorders>
              <w:top w:val="single" w:sz="8" w:space="0" w:color="D8D0C0"/>
              <w:left w:val="single" w:sz="8" w:space="0" w:color="D8D0C0"/>
              <w:bottom w:val="single" w:sz="8" w:space="0" w:color="D8D0C0"/>
              <w:right w:val="single" w:sz="8" w:space="0" w:color="D8D0C0"/>
            </w:tcBorders>
          </w:tcPr>
          <w:p>
            <w:r>
              <w:rPr>
                <w:sz w:val="16"/>
              </w:rPr>
              <w:t>Operational delays</w:t>
            </w:r>
          </w:p>
        </w:tc>
        <w:tc>
          <w:tcPr>
            <w:tcW w:type="dxa" w:w="3360"/>
            <w:tcBorders>
              <w:top w:val="single" w:sz="8" w:space="0" w:color="D8D0C0"/>
              <w:left w:val="single" w:sz="8" w:space="0" w:color="D8D0C0"/>
              <w:bottom w:val="single" w:sz="8" w:space="0" w:color="D8D0C0"/>
              <w:right w:val="single" w:sz="8" w:space="0" w:color="D8D0C0"/>
            </w:tcBorders>
          </w:tcPr>
          <w:p>
            <w:r>
              <w:rPr>
                <w:sz w:val="16"/>
              </w:rPr>
              <w:t>Structured workflows, admin tools and staged verification standards</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Trust and liability concerns</w:t>
            </w:r>
          </w:p>
        </w:tc>
        <w:tc>
          <w:tcPr>
            <w:tcW w:type="dxa" w:w="3360"/>
            <w:tcBorders>
              <w:top w:val="single" w:sz="8" w:space="0" w:color="D8D0C0"/>
              <w:left w:val="single" w:sz="8" w:space="0" w:color="D8D0C0"/>
              <w:bottom w:val="single" w:sz="8" w:space="0" w:color="D8D0C0"/>
              <w:right w:val="single" w:sz="8" w:space="0" w:color="D8D0C0"/>
            </w:tcBorders>
          </w:tcPr>
          <w:p>
            <w:r>
              <w:rPr>
                <w:sz w:val="16"/>
              </w:rPr>
              <w:t>Reputational risk</w:t>
            </w:r>
          </w:p>
        </w:tc>
        <w:tc>
          <w:tcPr>
            <w:tcW w:type="dxa" w:w="3360"/>
            <w:tcBorders>
              <w:top w:val="single" w:sz="8" w:space="0" w:color="D8D0C0"/>
              <w:left w:val="single" w:sz="8" w:space="0" w:color="D8D0C0"/>
              <w:bottom w:val="single" w:sz="8" w:space="0" w:color="D8D0C0"/>
              <w:right w:val="single" w:sz="8" w:space="0" w:color="D8D0C0"/>
            </w:tcBorders>
          </w:tcPr>
          <w:p>
            <w:r>
              <w:rPr>
                <w:sz w:val="16"/>
              </w:rPr>
              <w:t>Terms, disclaimers, professional conduct rules and reporting tools</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Payment friction</w:t>
            </w:r>
          </w:p>
        </w:tc>
        <w:tc>
          <w:tcPr>
            <w:tcW w:type="dxa" w:w="3360"/>
            <w:tcBorders>
              <w:top w:val="single" w:sz="8" w:space="0" w:color="D8D0C0"/>
              <w:left w:val="single" w:sz="8" w:space="0" w:color="D8D0C0"/>
              <w:bottom w:val="single" w:sz="8" w:space="0" w:color="D8D0C0"/>
              <w:right w:val="single" w:sz="8" w:space="0" w:color="D8D0C0"/>
            </w:tcBorders>
          </w:tcPr>
          <w:p>
            <w:r>
              <w:rPr>
                <w:sz w:val="16"/>
              </w:rPr>
              <w:t>Lower conversion</w:t>
            </w:r>
          </w:p>
        </w:tc>
        <w:tc>
          <w:tcPr>
            <w:tcW w:type="dxa" w:w="3360"/>
            <w:tcBorders>
              <w:top w:val="single" w:sz="8" w:space="0" w:color="D8D0C0"/>
              <w:left w:val="single" w:sz="8" w:space="0" w:color="D8D0C0"/>
              <w:bottom w:val="single" w:sz="8" w:space="0" w:color="D8D0C0"/>
              <w:right w:val="single" w:sz="8" w:space="0" w:color="D8D0C0"/>
            </w:tcBorders>
          </w:tcPr>
          <w:p>
            <w:r>
              <w:rPr>
                <w:sz w:val="16"/>
              </w:rPr>
              <w:t>Automated activation, multiple payment channels and clear plan benefits</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Competitive copying</w:t>
            </w:r>
          </w:p>
        </w:tc>
        <w:tc>
          <w:tcPr>
            <w:tcW w:type="dxa" w:w="3360"/>
            <w:tcBorders>
              <w:top w:val="single" w:sz="8" w:space="0" w:color="D8D0C0"/>
              <w:left w:val="single" w:sz="8" w:space="0" w:color="D8D0C0"/>
              <w:bottom w:val="single" w:sz="8" w:space="0" w:color="D8D0C0"/>
              <w:right w:val="single" w:sz="8" w:space="0" w:color="D8D0C0"/>
            </w:tcBorders>
          </w:tcPr>
          <w:p>
            <w:r>
              <w:rPr>
                <w:sz w:val="16"/>
              </w:rPr>
              <w:t>Pressure on differentiation</w:t>
            </w:r>
          </w:p>
        </w:tc>
        <w:tc>
          <w:tcPr>
            <w:tcW w:type="dxa" w:w="3360"/>
            <w:tcBorders>
              <w:top w:val="single" w:sz="8" w:space="0" w:color="D8D0C0"/>
              <w:left w:val="single" w:sz="8" w:space="0" w:color="D8D0C0"/>
              <w:bottom w:val="single" w:sz="8" w:space="0" w:color="D8D0C0"/>
              <w:right w:val="single" w:sz="8" w:space="0" w:color="D8D0C0"/>
            </w:tcBorders>
          </w:tcPr>
          <w:p>
            <w:r>
              <w:rPr>
                <w:sz w:val="16"/>
              </w:rPr>
              <w:t>Network effects, brand trust, content depth and legal-community focus</w:t>
            </w:r>
          </w:p>
        </w:tc>
      </w:tr>
    </w:tbl>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15. Exit Strategy</w:t>
      </w:r>
    </w:p>
    <w:p>
      <w:pPr>
        <w:pStyle w:val="ListBullet"/>
      </w:pPr>
      <w:r>
        <w:t>Strategic acquisition by legal publishing, professional services, recruitment, fintech, SaaS or marketplace operators.</w:t>
      </w:r>
    </w:p>
    <w:p>
      <w:pPr>
        <w:pStyle w:val="ListBullet"/>
      </w:pPr>
      <w:r>
        <w:t>Regional consolidation with other African professional-network platforms.</w:t>
      </w:r>
    </w:p>
    <w:p>
      <w:pPr>
        <w:pStyle w:val="ListBullet"/>
      </w:pPr>
      <w:r>
        <w:t>Institutional partnership or majority investment by a legal services, education or compliance group.</w:t>
      </w:r>
    </w:p>
    <w:p>
      <w:pPr>
        <w:pStyle w:val="ListBullet"/>
      </w:pPr>
      <w:r>
        <w:t>Long-term cash-flow business with recurring subscription and marketplace revenue.</w:t>
      </w:r>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16. Funding Requirements and Use of Funds</w:t>
      </w:r>
    </w:p>
    <w:p>
      <w:pPr>
        <w:pStyle w:val="BodyText"/>
      </w:pPr>
      <w:r>
        <w:t>LearnedCircle seeks growth capital in the US$250,000 to US$1 million range, or naira equivalent. The proposed naira equity ladder is N100m for 12%, N200m for 15%, and N500m for 20%.</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Use</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Purpose</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Indicative Allocation</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Marketing and acquisition</w:t>
            </w:r>
          </w:p>
        </w:tc>
        <w:tc>
          <w:tcPr>
            <w:tcW w:type="dxa" w:w="3360"/>
            <w:tcBorders>
              <w:top w:val="single" w:sz="8" w:space="0" w:color="D8D0C0"/>
              <w:left w:val="single" w:sz="8" w:space="0" w:color="D8D0C0"/>
              <w:bottom w:val="single" w:sz="8" w:space="0" w:color="D8D0C0"/>
              <w:right w:val="single" w:sz="8" w:space="0" w:color="D8D0C0"/>
            </w:tcBorders>
          </w:tcPr>
          <w:p>
            <w:r>
              <w:rPr>
                <w:sz w:val="16"/>
              </w:rPr>
              <w:t>Lawyer onboarding, NBA visibility, digital campaigns, employers</w:t>
            </w:r>
          </w:p>
        </w:tc>
        <w:tc>
          <w:tcPr>
            <w:tcW w:type="dxa" w:w="3360"/>
            <w:tcBorders>
              <w:top w:val="single" w:sz="8" w:space="0" w:color="D8D0C0"/>
              <w:left w:val="single" w:sz="8" w:space="0" w:color="D8D0C0"/>
              <w:bottom w:val="single" w:sz="8" w:space="0" w:color="D8D0C0"/>
              <w:right w:val="single" w:sz="8" w:space="0" w:color="D8D0C0"/>
            </w:tcBorders>
          </w:tcPr>
          <w:p>
            <w:r>
              <w:rPr>
                <w:sz w:val="16"/>
              </w:rPr>
              <w:t>35%</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Hiring and operations</w:t>
            </w:r>
          </w:p>
        </w:tc>
        <w:tc>
          <w:tcPr>
            <w:tcW w:type="dxa" w:w="3360"/>
            <w:tcBorders>
              <w:top w:val="single" w:sz="8" w:space="0" w:color="D8D0C0"/>
              <w:left w:val="single" w:sz="8" w:space="0" w:color="D8D0C0"/>
              <w:bottom w:val="single" w:sz="8" w:space="0" w:color="D8D0C0"/>
              <w:right w:val="single" w:sz="8" w:space="0" w:color="D8D0C0"/>
            </w:tcBorders>
          </w:tcPr>
          <w:p>
            <w:r>
              <w:rPr>
                <w:sz w:val="16"/>
              </w:rPr>
              <w:t>Product, support, verification, content and partnerships</w:t>
            </w:r>
          </w:p>
        </w:tc>
        <w:tc>
          <w:tcPr>
            <w:tcW w:type="dxa" w:w="3360"/>
            <w:tcBorders>
              <w:top w:val="single" w:sz="8" w:space="0" w:color="D8D0C0"/>
              <w:left w:val="single" w:sz="8" w:space="0" w:color="D8D0C0"/>
              <w:bottom w:val="single" w:sz="8" w:space="0" w:color="D8D0C0"/>
              <w:right w:val="single" w:sz="8" w:space="0" w:color="D8D0C0"/>
            </w:tcBorders>
          </w:tcPr>
          <w:p>
            <w:r>
              <w:rPr>
                <w:sz w:val="16"/>
              </w:rPr>
              <w:t>30%</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Technology</w:t>
            </w:r>
          </w:p>
        </w:tc>
        <w:tc>
          <w:tcPr>
            <w:tcW w:type="dxa" w:w="3360"/>
            <w:tcBorders>
              <w:top w:val="single" w:sz="8" w:space="0" w:color="D8D0C0"/>
              <w:left w:val="single" w:sz="8" w:space="0" w:color="D8D0C0"/>
              <w:bottom w:val="single" w:sz="8" w:space="0" w:color="D8D0C0"/>
              <w:right w:val="single" w:sz="8" w:space="0" w:color="D8D0C0"/>
            </w:tcBorders>
          </w:tcPr>
          <w:p>
            <w:r>
              <w:rPr>
                <w:sz w:val="16"/>
              </w:rPr>
              <w:t>Payments, mobile app, AI assistant, analytics and security</w:t>
            </w:r>
          </w:p>
        </w:tc>
        <w:tc>
          <w:tcPr>
            <w:tcW w:type="dxa" w:w="3360"/>
            <w:tcBorders>
              <w:top w:val="single" w:sz="8" w:space="0" w:color="D8D0C0"/>
              <w:left w:val="single" w:sz="8" w:space="0" w:color="D8D0C0"/>
              <w:bottom w:val="single" w:sz="8" w:space="0" w:color="D8D0C0"/>
              <w:right w:val="single" w:sz="8" w:space="0" w:color="D8D0C0"/>
            </w:tcBorders>
          </w:tcPr>
          <w:p>
            <w:r>
              <w:rPr>
                <w:sz w:val="16"/>
              </w:rPr>
              <w:t>20%</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Legal, compliance and admin</w:t>
            </w:r>
          </w:p>
        </w:tc>
        <w:tc>
          <w:tcPr>
            <w:tcW w:type="dxa" w:w="3360"/>
            <w:tcBorders>
              <w:top w:val="single" w:sz="8" w:space="0" w:color="D8D0C0"/>
              <w:left w:val="single" w:sz="8" w:space="0" w:color="D8D0C0"/>
              <w:bottom w:val="single" w:sz="8" w:space="0" w:color="D8D0C0"/>
              <w:right w:val="single" w:sz="8" w:space="0" w:color="D8D0C0"/>
            </w:tcBorders>
          </w:tcPr>
          <w:p>
            <w:r>
              <w:rPr>
                <w:sz w:val="16"/>
              </w:rPr>
              <w:t>Documentation, policies, accounting and governance</w:t>
            </w:r>
          </w:p>
        </w:tc>
        <w:tc>
          <w:tcPr>
            <w:tcW w:type="dxa" w:w="3360"/>
            <w:tcBorders>
              <w:top w:val="single" w:sz="8" w:space="0" w:color="D8D0C0"/>
              <w:left w:val="single" w:sz="8" w:space="0" w:color="D8D0C0"/>
              <w:bottom w:val="single" w:sz="8" w:space="0" w:color="D8D0C0"/>
              <w:right w:val="single" w:sz="8" w:space="0" w:color="D8D0C0"/>
            </w:tcBorders>
          </w:tcPr>
          <w:p>
            <w:r>
              <w:rPr>
                <w:sz w:val="16"/>
              </w:rPr>
              <w:t>10%</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Reserve</w:t>
            </w:r>
          </w:p>
        </w:tc>
        <w:tc>
          <w:tcPr>
            <w:tcW w:type="dxa" w:w="3360"/>
            <w:tcBorders>
              <w:top w:val="single" w:sz="8" w:space="0" w:color="D8D0C0"/>
              <w:left w:val="single" w:sz="8" w:space="0" w:color="D8D0C0"/>
              <w:bottom w:val="single" w:sz="8" w:space="0" w:color="D8D0C0"/>
              <w:right w:val="single" w:sz="8" w:space="0" w:color="D8D0C0"/>
            </w:tcBorders>
          </w:tcPr>
          <w:p>
            <w:r>
              <w:rPr>
                <w:sz w:val="16"/>
              </w:rPr>
              <w:t>Contingency and working capital</w:t>
            </w:r>
          </w:p>
        </w:tc>
        <w:tc>
          <w:tcPr>
            <w:tcW w:type="dxa" w:w="3360"/>
            <w:tcBorders>
              <w:top w:val="single" w:sz="8" w:space="0" w:color="D8D0C0"/>
              <w:left w:val="single" w:sz="8" w:space="0" w:color="D8D0C0"/>
              <w:bottom w:val="single" w:sz="8" w:space="0" w:color="D8D0C0"/>
              <w:right w:val="single" w:sz="8" w:space="0" w:color="D8D0C0"/>
            </w:tcBorders>
          </w:tcPr>
          <w:p>
            <w:r>
              <w:rPr>
                <w:sz w:val="16"/>
              </w:rPr>
              <w:t>5%</w:t>
            </w:r>
          </w:p>
        </w:tc>
      </w:tr>
    </w:tbl>
    <w:p/>
    <w:p>
      <w:pPr>
        <w:pStyle w:val="Heading2"/>
      </w:pPr>
      <w:r>
        <w:rPr>
          <w:b/>
        </w:rPr>
        <w:t>Investor Interpretation</w:t>
      </w:r>
    </w:p>
    <w:p>
      <w:pPr>
        <w:pStyle w:val="BodyText"/>
      </w:pPr>
      <w:r>
        <w:t>For investors, this section supports the core thesis that a trusted legal network can combine professional credibility, recurring subscriptions, content distribution and marketplace activity. The strategy is to build density in Nigeria first, then extend the model across suitable African markets once verification, payments, support and community systems are proven.</w:t>
      </w:r>
    </w:p>
    <w:p>
      <w:pPr>
        <w:pStyle w:val="Heading2"/>
      </w:pPr>
      <w:r>
        <w:rPr>
          <w:b/>
        </w:rPr>
        <w:t>Execution Notes</w:t>
      </w:r>
    </w:p>
    <w:p>
      <w:pPr>
        <w:pStyle w:val="ListBullet"/>
      </w:pPr>
      <w:r>
        <w:t>Keep early operations founder-led until quality, tone and verification discipline are stable.</w:t>
      </w:r>
    </w:p>
    <w:p>
      <w:pPr>
        <w:pStyle w:val="ListBullet"/>
      </w:pPr>
      <w:r>
        <w:t>Prioritise respected lawyers and high-signal profiles over vanity registration numbers.</w:t>
      </w:r>
    </w:p>
    <w:p>
      <w:pPr>
        <w:pStyle w:val="ListBullet"/>
      </w:pPr>
      <w:r>
        <w:t>Measure conversion from free profile creation to verification, premium upgrade and active monthly usage.</w:t>
      </w:r>
    </w:p>
    <w:p>
      <w:r>
        <w:br w:type="page"/>
      </w:r>
    </w:p>
    <w:p>
      <w:pPr>
        <w:pStyle w:val="Heading1"/>
      </w:pPr>
      <w:r>
        <w:rPr>
          <w:b/>
        </w:rPr>
        <w:t>Appendix A: Practical Launch Milestones</w:t>
      </w:r>
    </w:p>
    <w:tbl>
      <w:tblPr>
        <w:tblW w:type="auto" w:w="0"/>
        <w:jc w:val="center"/>
        <w:tblLayout w:type="autofit"/>
        <w:tblLook w:firstColumn="1" w:firstRow="1" w:lastColumn="0" w:lastRow="0" w:noHBand="0" w:noVBand="1" w:val="04A0"/>
      </w:tblPr>
      <w:tblGrid>
        <w:gridCol w:w="3360"/>
        <w:gridCol w:w="3360"/>
        <w:gridCol w:w="3360"/>
      </w:tblGrid>
      <w:tr>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Milestone</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Owner</w:t>
            </w:r>
          </w:p>
        </w:tc>
        <w:tc>
          <w:tcPr>
            <w:tcW w:type="dxa" w:w="3360"/>
            <w:shd w:fill="132620"/>
            <w:tcBorders>
              <w:top w:val="single" w:sz="8" w:space="0" w:color="D8D0C0"/>
              <w:left w:val="single" w:sz="8" w:space="0" w:color="D8D0C0"/>
              <w:bottom w:val="single" w:sz="8" w:space="0" w:color="D8D0C0"/>
              <w:right w:val="single" w:sz="8" w:space="0" w:color="D8D0C0"/>
            </w:tcBorders>
          </w:tcPr>
          <w:p>
            <w:r>
              <w:rPr>
                <w:b/>
                <w:color w:val="FFFFFF"/>
                <w:sz w:val="17"/>
              </w:rPr>
              <w:t>Investor Relevance</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Payment activation</w:t>
            </w:r>
          </w:p>
        </w:tc>
        <w:tc>
          <w:tcPr>
            <w:tcW w:type="dxa" w:w="3360"/>
            <w:tcBorders>
              <w:top w:val="single" w:sz="8" w:space="0" w:color="D8D0C0"/>
              <w:left w:val="single" w:sz="8" w:space="0" w:color="D8D0C0"/>
              <w:bottom w:val="single" w:sz="8" w:space="0" w:color="D8D0C0"/>
              <w:right w:val="single" w:sz="8" w:space="0" w:color="D8D0C0"/>
            </w:tcBorders>
          </w:tcPr>
          <w:p>
            <w:r>
              <w:rPr>
                <w:sz w:val="16"/>
              </w:rPr>
              <w:t>Product and operations</w:t>
            </w:r>
          </w:p>
        </w:tc>
        <w:tc>
          <w:tcPr>
            <w:tcW w:type="dxa" w:w="3360"/>
            <w:tcBorders>
              <w:top w:val="single" w:sz="8" w:space="0" w:color="D8D0C0"/>
              <w:left w:val="single" w:sz="8" w:space="0" w:color="D8D0C0"/>
              <w:bottom w:val="single" w:sz="8" w:space="0" w:color="D8D0C0"/>
              <w:right w:val="single" w:sz="8" w:space="0" w:color="D8D0C0"/>
            </w:tcBorders>
          </w:tcPr>
          <w:p>
            <w:r>
              <w:rPr>
                <w:sz w:val="16"/>
              </w:rPr>
              <w:t>Turns premium interest into measurable revenue</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Verification workflow</w:t>
            </w:r>
          </w:p>
        </w:tc>
        <w:tc>
          <w:tcPr>
            <w:tcW w:type="dxa" w:w="3360"/>
            <w:tcBorders>
              <w:top w:val="single" w:sz="8" w:space="0" w:color="D8D0C0"/>
              <w:left w:val="single" w:sz="8" w:space="0" w:color="D8D0C0"/>
              <w:bottom w:val="single" w:sz="8" w:space="0" w:color="D8D0C0"/>
              <w:right w:val="single" w:sz="8" w:space="0" w:color="D8D0C0"/>
            </w:tcBorders>
          </w:tcPr>
          <w:p>
            <w:r>
              <w:rPr>
                <w:sz w:val="16"/>
              </w:rPr>
              <w:t>Admin and legal operations</w:t>
            </w:r>
          </w:p>
        </w:tc>
        <w:tc>
          <w:tcPr>
            <w:tcW w:type="dxa" w:w="3360"/>
            <w:tcBorders>
              <w:top w:val="single" w:sz="8" w:space="0" w:color="D8D0C0"/>
              <w:left w:val="single" w:sz="8" w:space="0" w:color="D8D0C0"/>
              <w:bottom w:val="single" w:sz="8" w:space="0" w:color="D8D0C0"/>
              <w:right w:val="single" w:sz="8" w:space="0" w:color="D8D0C0"/>
            </w:tcBorders>
          </w:tcPr>
          <w:p>
            <w:r>
              <w:rPr>
                <w:sz w:val="16"/>
              </w:rPr>
              <w:t>Protects platform trust</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Senior lawyer onboarding</w:t>
            </w:r>
          </w:p>
        </w:tc>
        <w:tc>
          <w:tcPr>
            <w:tcW w:type="dxa" w:w="3360"/>
            <w:tcBorders>
              <w:top w:val="single" w:sz="8" w:space="0" w:color="D8D0C0"/>
              <w:left w:val="single" w:sz="8" w:space="0" w:color="D8D0C0"/>
              <w:bottom w:val="single" w:sz="8" w:space="0" w:color="D8D0C0"/>
              <w:right w:val="single" w:sz="8" w:space="0" w:color="D8D0C0"/>
            </w:tcBorders>
          </w:tcPr>
          <w:p>
            <w:r>
              <w:rPr>
                <w:sz w:val="16"/>
              </w:rPr>
              <w:t>Founder and partnerships</w:t>
            </w:r>
          </w:p>
        </w:tc>
        <w:tc>
          <w:tcPr>
            <w:tcW w:type="dxa" w:w="3360"/>
            <w:tcBorders>
              <w:top w:val="single" w:sz="8" w:space="0" w:color="D8D0C0"/>
              <w:left w:val="single" w:sz="8" w:space="0" w:color="D8D0C0"/>
              <w:bottom w:val="single" w:sz="8" w:space="0" w:color="D8D0C0"/>
              <w:right w:val="single" w:sz="8" w:space="0" w:color="D8D0C0"/>
            </w:tcBorders>
          </w:tcPr>
          <w:p>
            <w:r>
              <w:rPr>
                <w:sz w:val="16"/>
              </w:rPr>
              <w:t>Builds credibility and mentorship value</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Employer pipeline</w:t>
            </w:r>
          </w:p>
        </w:tc>
        <w:tc>
          <w:tcPr>
            <w:tcW w:type="dxa" w:w="3360"/>
            <w:tcBorders>
              <w:top w:val="single" w:sz="8" w:space="0" w:color="D8D0C0"/>
              <w:left w:val="single" w:sz="8" w:space="0" w:color="D8D0C0"/>
              <w:bottom w:val="single" w:sz="8" w:space="0" w:color="D8D0C0"/>
              <w:right w:val="single" w:sz="8" w:space="0" w:color="D8D0C0"/>
            </w:tcBorders>
          </w:tcPr>
          <w:p>
            <w:r>
              <w:rPr>
                <w:sz w:val="16"/>
              </w:rPr>
              <w:t>Commercial lead</w:t>
            </w:r>
          </w:p>
        </w:tc>
        <w:tc>
          <w:tcPr>
            <w:tcW w:type="dxa" w:w="3360"/>
            <w:tcBorders>
              <w:top w:val="single" w:sz="8" w:space="0" w:color="D8D0C0"/>
              <w:left w:val="single" w:sz="8" w:space="0" w:color="D8D0C0"/>
              <w:bottom w:val="single" w:sz="8" w:space="0" w:color="D8D0C0"/>
              <w:right w:val="single" w:sz="8" w:space="0" w:color="D8D0C0"/>
            </w:tcBorders>
          </w:tcPr>
          <w:p>
            <w:r>
              <w:rPr>
                <w:sz w:val="16"/>
              </w:rPr>
              <w:t>Creates jobs and advertising revenue</w:t>
            </w:r>
          </w:p>
        </w:tc>
      </w:tr>
      <w:tr>
        <w:tc>
          <w:tcPr>
            <w:tcW w:type="dxa" w:w="3360"/>
            <w:tcBorders>
              <w:top w:val="single" w:sz="8" w:space="0" w:color="D8D0C0"/>
              <w:left w:val="single" w:sz="8" w:space="0" w:color="D8D0C0"/>
              <w:bottom w:val="single" w:sz="8" w:space="0" w:color="D8D0C0"/>
              <w:right w:val="single" w:sz="8" w:space="0" w:color="D8D0C0"/>
            </w:tcBorders>
          </w:tcPr>
          <w:p>
            <w:r>
              <w:rPr>
                <w:sz w:val="16"/>
              </w:rPr>
              <w:t>Investor reporting</w:t>
            </w:r>
          </w:p>
        </w:tc>
        <w:tc>
          <w:tcPr>
            <w:tcW w:type="dxa" w:w="3360"/>
            <w:tcBorders>
              <w:top w:val="single" w:sz="8" w:space="0" w:color="D8D0C0"/>
              <w:left w:val="single" w:sz="8" w:space="0" w:color="D8D0C0"/>
              <w:bottom w:val="single" w:sz="8" w:space="0" w:color="D8D0C0"/>
              <w:right w:val="single" w:sz="8" w:space="0" w:color="D8D0C0"/>
            </w:tcBorders>
          </w:tcPr>
          <w:p>
            <w:r>
              <w:rPr>
                <w:sz w:val="16"/>
              </w:rPr>
              <w:t>Founder and finance</w:t>
            </w:r>
          </w:p>
        </w:tc>
        <w:tc>
          <w:tcPr>
            <w:tcW w:type="dxa" w:w="3360"/>
            <w:tcBorders>
              <w:top w:val="single" w:sz="8" w:space="0" w:color="D8D0C0"/>
              <w:left w:val="single" w:sz="8" w:space="0" w:color="D8D0C0"/>
              <w:bottom w:val="single" w:sz="8" w:space="0" w:color="D8D0C0"/>
              <w:right w:val="single" w:sz="8" w:space="0" w:color="D8D0C0"/>
            </w:tcBorders>
          </w:tcPr>
          <w:p>
            <w:r>
              <w:rPr>
                <w:sz w:val="16"/>
              </w:rPr>
              <w:t>Keeps fundraising and governance disciplined</w:t>
            </w:r>
          </w:p>
        </w:tc>
      </w:tr>
    </w:tbl>
    <w:p/>
    <w:p>
      <w:pPr>
        <w:pStyle w:val="Heading1"/>
      </w:pPr>
      <w:r>
        <w:rPr>
          <w:b/>
        </w:rPr>
        <w:t>Appendix B: Due Diligence Notes</w:t>
      </w:r>
    </w:p>
    <w:p>
      <w:pPr>
        <w:pStyle w:val="ListBullet"/>
      </w:pPr>
      <w:r>
        <w:t>Confirm company registration and ownership structure.</w:t>
      </w:r>
    </w:p>
    <w:p>
      <w:pPr>
        <w:pStyle w:val="ListBullet"/>
      </w:pPr>
      <w:r>
        <w:t>Prepare founder agreements, IP assignment and shareholder documents.</w:t>
      </w:r>
    </w:p>
    <w:p>
      <w:pPr>
        <w:pStyle w:val="ListBullet"/>
      </w:pPr>
      <w:r>
        <w:t>Maintain financial records, subscription records, investor communications and product roadmap.</w:t>
      </w:r>
    </w:p>
    <w:p>
      <w:pPr>
        <w:pStyle w:val="ListBullet"/>
      </w:pPr>
      <w:r>
        <w:t>Maintain privacy policy, terms, disclaimer, verification policy and user consent records.</w:t>
      </w:r>
    </w:p>
    <w:p>
      <w:r>
        <w:br w:type="page"/>
      </w:r>
    </w:p>
    <w:p>
      <w:pPr>
        <w:pStyle w:val="Heading1"/>
      </w:pPr>
      <w:r>
        <w:rPr>
          <w:b/>
        </w:rPr>
        <w:t>Appendix C: Launch Execution Calendar</w:t>
      </w:r>
    </w:p>
    <w:p>
      <w:pPr>
        <w:pStyle w:val="ListBullet"/>
      </w:pPr>
      <w:r>
        <w:t>Month 1: finalise payment activation, investor page, admin workflows, email notifications and analytics.</w:t>
      </w:r>
    </w:p>
    <w:p>
      <w:pPr>
        <w:pStyle w:val="ListBullet"/>
      </w:pPr>
      <w:r>
        <w:t>Month 2: onboard the first respected senior lawyers, mentors, law firms and founding verified lawyers.</w:t>
      </w:r>
    </w:p>
    <w:p>
      <w:pPr>
        <w:pStyle w:val="ListBullet"/>
      </w:pPr>
      <w:r>
        <w:t>Month 3: begin public content campaigns around legal discovery, verification, mentorship and lawyer visibility.</w:t>
      </w:r>
    </w:p>
    <w:p>
      <w:pPr>
        <w:pStyle w:val="ListBullet"/>
      </w:pPr>
      <w:r>
        <w:t>Month 4: launch employer and job-posting outreach to startups, companies, law firms and professional-service firms.</w:t>
      </w:r>
    </w:p>
    <w:p>
      <w:pPr>
        <w:pStyle w:val="ListBullet"/>
      </w:pPr>
      <w:r>
        <w:t>Month 5: expand into NBA branch visibility, referral campaigns and practice-area communities.</w:t>
      </w:r>
    </w:p>
    <w:p>
      <w:pPr>
        <w:pStyle w:val="ListBullet"/>
      </w:pPr>
      <w:r>
        <w:t>Month 6: review premium conversion, retention, profile views, client contact rates and cost of acquisition.</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D: Product Roadmap</w:t>
      </w:r>
    </w:p>
    <w:p>
      <w:pPr>
        <w:pStyle w:val="ListBullet"/>
      </w:pPr>
      <w:r>
        <w:t>Public marketplace: lawyer search, profile views, direct contact, jobs, adverts, articles and guest blog.</w:t>
      </w:r>
    </w:p>
    <w:p>
      <w:pPr>
        <w:pStyle w:val="ListBullet"/>
      </w:pPr>
      <w:r>
        <w:t>Lawyer dashboard: profile management, article publishing, invoices, chat, mentorship, notifications and analytics.</w:t>
      </w:r>
    </w:p>
    <w:p>
      <w:pPr>
        <w:pStyle w:val="ListBullet"/>
      </w:pPr>
      <w:r>
        <w:t>Admin console: verification, moderation, guest publishing, reports, premium status and user support.</w:t>
      </w:r>
    </w:p>
    <w:p>
      <w:pPr>
        <w:pStyle w:val="ListBullet"/>
      </w:pPr>
      <w:r>
        <w:t>Mobile roadmap: client search, lawyer dashboard, chat, notifications and simple matter intake.</w:t>
      </w:r>
    </w:p>
    <w:p>
      <w:pPr>
        <w:pStyle w:val="ListBullet"/>
      </w:pPr>
      <w:r>
        <w:t>AI roadmap: legal information assistant, article drafting support, matter triage and professional workflow support.</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E: LegalCircle Content Strategy</w:t>
      </w:r>
    </w:p>
    <w:p>
      <w:pPr>
        <w:pStyle w:val="ListBullet"/>
      </w:pPr>
      <w:r>
        <w:t>LegalCircle should make LearnedCircle more than a directory by creating useful, searchable legal knowledge.</w:t>
      </w:r>
    </w:p>
    <w:p>
      <w:pPr>
        <w:pStyle w:val="ListBullet"/>
      </w:pPr>
      <w:r>
        <w:t>Content pillars: client guides, lawyer growth, corporate law, tax, litigation, pro bono, legal technology and mentorship.</w:t>
      </w:r>
    </w:p>
    <w:p>
      <w:pPr>
        <w:pStyle w:val="ListBullet"/>
      </w:pPr>
      <w:r>
        <w:t>Senior voices: SANs, retired judges, partners and specialist lawyers can publish bylined guest articles.</w:t>
      </w:r>
    </w:p>
    <w:p>
      <w:pPr>
        <w:pStyle w:val="ListBullet"/>
      </w:pPr>
      <w:r>
        <w:t>Debate: structured legal debates can build engagement while showing different professional views.</w:t>
      </w:r>
    </w:p>
    <w:p>
      <w:pPr>
        <w:pStyle w:val="ListBullet"/>
      </w:pPr>
      <w:r>
        <w:t>Editorial discipline: free and non-premium article submissions should be reviewed; active premium verified lawyers publish directly.</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F: Verification Framework</w:t>
      </w:r>
    </w:p>
    <w:p>
      <w:pPr>
        <w:pStyle w:val="ListBullet"/>
      </w:pPr>
      <w:r>
        <w:t>Required lawyer details should include full name, Supreme Court Number, year of call, location and practice areas.</w:t>
      </w:r>
    </w:p>
    <w:p>
      <w:pPr>
        <w:pStyle w:val="ListBullet"/>
      </w:pPr>
      <w:r>
        <w:t>Optional public display controls should allow lawyers to choose which sensitive details appear publicly.</w:t>
      </w:r>
    </w:p>
    <w:p>
      <w:pPr>
        <w:pStyle w:val="ListBullet"/>
      </w:pPr>
      <w:r>
        <w:t>Verification is not a guarantee of legal outcomes; it is a profile-review and trust-support process.</w:t>
      </w:r>
    </w:p>
    <w:p>
      <w:pPr>
        <w:pStyle w:val="ListBullet"/>
      </w:pPr>
      <w:r>
        <w:t>Reports and complaints should route to admin review with appropriate response records.</w:t>
      </w:r>
    </w:p>
    <w:p>
      <w:pPr>
        <w:pStyle w:val="ListBullet"/>
      </w:pPr>
      <w:r>
        <w:t>Premium benefits should activate after payment confirmation, but verified status should still depend on lawyer review.</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G: Premium Membership Logic</w:t>
      </w:r>
    </w:p>
    <w:p>
      <w:pPr>
        <w:pStyle w:val="ListBullet"/>
      </w:pPr>
      <w:r>
        <w:t>Free users can register, draft profiles, submit articles for review and generate up to five invoices monthly.</w:t>
      </w:r>
    </w:p>
    <w:p>
      <w:pPr>
        <w:pStyle w:val="ListBullet"/>
      </w:pPr>
      <w:r>
        <w:t>Active premium lawyers receive direct client contact, online chat visibility, priority matching and unlimited branded invoices.</w:t>
      </w:r>
    </w:p>
    <w:p>
      <w:pPr>
        <w:pStyle w:val="ListBullet"/>
      </w:pPr>
      <w:r>
        <w:t>Only active premium verified lawyers should publish articles directly from their profile.</w:t>
      </w:r>
    </w:p>
    <w:p>
      <w:pPr>
        <w:pStyle w:val="ListBullet"/>
      </w:pPr>
      <w:r>
        <w:t>Verified non-premium lawyers still go through article review.</w:t>
      </w:r>
    </w:p>
    <w:p>
      <w:pPr>
        <w:pStyle w:val="ListBullet"/>
      </w:pPr>
      <w:r>
        <w:t>Premium status should be visible inside the lawyer dashboard after login.</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H: Client Experience</w:t>
      </w:r>
    </w:p>
    <w:p>
      <w:pPr>
        <w:pStyle w:val="ListBullet"/>
      </w:pPr>
      <w:r>
        <w:t>Clients should be able to search lawyers and contact active premium lawyers without registration.</w:t>
      </w:r>
    </w:p>
    <w:p>
      <w:pPr>
        <w:pStyle w:val="ListBullet"/>
      </w:pPr>
      <w:r>
        <w:t>A client can submit a brief and receive matched lawyers ranked from premium to ordinary where relevant.</w:t>
      </w:r>
    </w:p>
    <w:p>
      <w:pPr>
        <w:pStyle w:val="ListBullet"/>
      </w:pPr>
      <w:r>
        <w:t>Client-facing language must avoid promising legal outcomes.</w:t>
      </w:r>
    </w:p>
    <w:p>
      <w:pPr>
        <w:pStyle w:val="ListBullet"/>
      </w:pPr>
      <w:r>
        <w:t>The platform should encourage clients to avoid sending unnecessary sensitive documents before engagement terms are clear.</w:t>
      </w:r>
    </w:p>
    <w:p>
      <w:pPr>
        <w:pStyle w:val="ListBullet"/>
      </w:pPr>
      <w:r>
        <w:t>Client trust depends on simple forms, clear lawyer profiles, clear contact options and visible platform disclaimers.</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I: Lawyer Networking Experience</w:t>
      </w:r>
    </w:p>
    <w:p>
      <w:pPr>
        <w:pStyle w:val="ListBullet"/>
      </w:pPr>
      <w:r>
        <w:t>Verified lawyers should be able to follow one another, chat with available verified lawyers and receive profile activity notifications.</w:t>
      </w:r>
    </w:p>
    <w:p>
      <w:pPr>
        <w:pStyle w:val="ListBullet"/>
      </w:pPr>
      <w:r>
        <w:t>The system should suggest people they may know based on practice area, location, mentorship interest and profile activity.</w:t>
      </w:r>
    </w:p>
    <w:p>
      <w:pPr>
        <w:pStyle w:val="ListBullet"/>
      </w:pPr>
      <w:r>
        <w:t>Mentor profiles should display mentee following counts so the public can see active mentorship impact.</w:t>
      </w:r>
    </w:p>
    <w:p>
      <w:pPr>
        <w:pStyle w:val="ListBullet"/>
      </w:pPr>
      <w:r>
        <w:t>Senior lawyers should be able to host office hours, publish mentorship notes and receive structured mentorship requests.</w:t>
      </w:r>
    </w:p>
    <w:p>
      <w:pPr>
        <w:pStyle w:val="ListBullet"/>
      </w:pPr>
      <w:r>
        <w:t>Lawyer-to-lawyer communication should remain distinct from client enquiries to keep workflows clear.</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J: Jobs and Opportunities Workflow</w:t>
      </w:r>
    </w:p>
    <w:p>
      <w:pPr>
        <w:pStyle w:val="ListBullet"/>
      </w:pPr>
      <w:r>
        <w:t>Employers and firms should be able to post jobs, retainers, referrals and legal opportunities.</w:t>
      </w:r>
    </w:p>
    <w:p>
      <w:pPr>
        <w:pStyle w:val="ListBullet"/>
      </w:pPr>
      <w:r>
        <w:t>Applicants should submit directly, upload CVs and provide contact details.</w:t>
      </w:r>
    </w:p>
    <w:p>
      <w:pPr>
        <w:pStyle w:val="ListBullet"/>
      </w:pPr>
      <w:r>
        <w:t>Premium lawyers and employers can receive better routing and visibility where payment and verification rules allow.</w:t>
      </w:r>
    </w:p>
    <w:p>
      <w:pPr>
        <w:pStyle w:val="ListBullet"/>
      </w:pPr>
      <w:r>
        <w:t>Admin should receive notifications for posts requiring review.</w:t>
      </w:r>
    </w:p>
    <w:p>
      <w:pPr>
        <w:pStyle w:val="ListBullet"/>
      </w:pPr>
      <w:r>
        <w:t>Opportunity pages should keep applications simple, professional and auditable.</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K: Advertising Product</w:t>
      </w:r>
    </w:p>
    <w:p>
      <w:pPr>
        <w:pStyle w:val="ListBullet"/>
      </w:pPr>
      <w:r>
        <w:t>Free adverts can create entry-level participation while paid adverts receive more visibility and reliability.</w:t>
      </w:r>
    </w:p>
    <w:p>
      <w:pPr>
        <w:pStyle w:val="ListBullet"/>
      </w:pPr>
      <w:r>
        <w:t>Advert categories can include law firms, legal events, training, books, technology, compliance services and recruitment.</w:t>
      </w:r>
    </w:p>
    <w:p>
      <w:pPr>
        <w:pStyle w:val="ListBullet"/>
      </w:pPr>
      <w:r>
        <w:t>Paid adverts should be clearly marked and placed without making the site feel cluttered.</w:t>
      </w:r>
    </w:p>
    <w:p>
      <w:pPr>
        <w:pStyle w:val="ListBullet"/>
      </w:pPr>
      <w:r>
        <w:t>Advertisers should submit creative, landing URL, target audience, duration and budget.</w:t>
      </w:r>
    </w:p>
    <w:p>
      <w:pPr>
        <w:pStyle w:val="ListBullet"/>
      </w:pPr>
      <w:r>
        <w:t>Admin review protects the professional tone of the platform.</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L: Invoice Product</w:t>
      </w:r>
    </w:p>
    <w:p>
      <w:pPr>
        <w:pStyle w:val="ListBullet"/>
      </w:pPr>
      <w:r>
        <w:t>Lawyers should be able to customise invoices with firm name, logo, client details, line items and payment notes.</w:t>
      </w:r>
    </w:p>
    <w:p>
      <w:pPr>
        <w:pStyle w:val="ListBullet"/>
      </w:pPr>
      <w:r>
        <w:t>Free registration includes up to five invoices per month.</w:t>
      </w:r>
    </w:p>
    <w:p>
      <w:pPr>
        <w:pStyle w:val="ListBullet"/>
      </w:pPr>
      <w:r>
        <w:t>Premium membership unlocks unlimited branded invoices.</w:t>
      </w:r>
    </w:p>
    <w:p>
      <w:pPr>
        <w:pStyle w:val="ListBullet"/>
      </w:pPr>
      <w:r>
        <w:t>Invoices can be downloaded as PDF and shared through WhatsApp from the dashboard.</w:t>
      </w:r>
    </w:p>
    <w:p>
      <w:pPr>
        <w:pStyle w:val="ListBullet"/>
      </w:pPr>
      <w:r>
        <w:t>The invoice feature increases daily utility and supports premium retention.</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M: AI Legal Assistant Direction</w:t>
      </w:r>
    </w:p>
    <w:p>
      <w:pPr>
        <w:pStyle w:val="ListBullet"/>
      </w:pPr>
      <w:r>
        <w:t>The AI assistant should begin as an information and triage assistant, not a replacement for legal advice.</w:t>
      </w:r>
    </w:p>
    <w:p>
      <w:pPr>
        <w:pStyle w:val="ListBullet"/>
      </w:pPr>
      <w:r>
        <w:t>It can help clients structure a brief before contacting a lawyer.</w:t>
      </w:r>
    </w:p>
    <w:p>
      <w:pPr>
        <w:pStyle w:val="ListBullet"/>
      </w:pPr>
      <w:r>
        <w:t>It can help lawyers draft article outlines, invoice descriptions and intake summaries.</w:t>
      </w:r>
    </w:p>
    <w:p>
      <w:pPr>
        <w:pStyle w:val="ListBullet"/>
      </w:pPr>
      <w:r>
        <w:t>Strong disclaimers and routing to verified lawyers are essential.</w:t>
      </w:r>
    </w:p>
    <w:p>
      <w:pPr>
        <w:pStyle w:val="ListBullet"/>
      </w:pPr>
      <w:r>
        <w:t>Future AI features can support legal research, compliance checklists and document intake workflows.</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N: Data and Backup Plan</w:t>
      </w:r>
    </w:p>
    <w:p>
      <w:pPr>
        <w:pStyle w:val="ListBullet"/>
      </w:pPr>
      <w:r>
        <w:t>Supabase should hold user, profile, article, job, invoice, application, notification and moderation data.</w:t>
      </w:r>
    </w:p>
    <w:p>
      <w:pPr>
        <w:pStyle w:val="ListBullet"/>
      </w:pPr>
      <w:r>
        <w:t>Daily database backups should be enabled where plan level permits.</w:t>
      </w:r>
    </w:p>
    <w:p>
      <w:pPr>
        <w:pStyle w:val="ListBullet"/>
      </w:pPr>
      <w:r>
        <w:t>Admin exports should be available for moderation records, verified lawyers and job applications.</w:t>
      </w:r>
    </w:p>
    <w:p>
      <w:pPr>
        <w:pStyle w:val="ListBullet"/>
      </w:pPr>
      <w:r>
        <w:t>Sensitive credentials should remain in environment variables and never in public client code.</w:t>
      </w:r>
    </w:p>
    <w:p>
      <w:pPr>
        <w:pStyle w:val="ListBullet"/>
      </w:pPr>
      <w:r>
        <w:t>A recovery runbook should explain how to restore data and redeploy the Vercel site.</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O: Compliance and Legal Protection</w:t>
      </w:r>
    </w:p>
    <w:p>
      <w:pPr>
        <w:pStyle w:val="ListBullet"/>
      </w:pPr>
      <w:r>
        <w:t>Terms should clarify that LearnedCircle is a platform, not a law firm and not a substitute for legal advice.</w:t>
      </w:r>
    </w:p>
    <w:p>
      <w:pPr>
        <w:pStyle w:val="ListBullet"/>
      </w:pPr>
      <w:r>
        <w:t>Users should agree to lawful use, accurate information, professional conduct and responsible communication.</w:t>
      </w:r>
    </w:p>
    <w:p>
      <w:pPr>
        <w:pStyle w:val="ListBullet"/>
      </w:pPr>
      <w:r>
        <w:t>Lawyers remain responsible for professional obligations, client engagement terms and confidentiality.</w:t>
      </w:r>
    </w:p>
    <w:p>
      <w:pPr>
        <w:pStyle w:val="ListBullet"/>
      </w:pPr>
      <w:r>
        <w:t>The platform should disclaim responsibility for outcomes of lawyer-client engagements.</w:t>
      </w:r>
    </w:p>
    <w:p>
      <w:pPr>
        <w:pStyle w:val="ListBullet"/>
      </w:pPr>
      <w:r>
        <w:t>Privacy notices should explain data collection, profile publication, messages, moderation and notifications.</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P: Hiring Plan</w:t>
      </w:r>
    </w:p>
    <w:p>
      <w:pPr>
        <w:pStyle w:val="ListBullet"/>
      </w:pPr>
      <w:r>
        <w:t>Product lead or full-stack engineer to own technical execution and integrations.</w:t>
      </w:r>
    </w:p>
    <w:p>
      <w:pPr>
        <w:pStyle w:val="ListBullet"/>
      </w:pPr>
      <w:r>
        <w:t>Verification and customer support officer to manage lawyer review, reports and onboarding.</w:t>
      </w:r>
    </w:p>
    <w:p>
      <w:pPr>
        <w:pStyle w:val="ListBullet"/>
      </w:pPr>
      <w:r>
        <w:t>Content and community lead to manage LegalCircle, guest blogs, newsletters and mentorship.</w:t>
      </w:r>
    </w:p>
    <w:p>
      <w:pPr>
        <w:pStyle w:val="ListBullet"/>
      </w:pPr>
      <w:r>
        <w:t>Growth and partnerships lead to drive NBA branch outreach, law firm relationships and employers.</w:t>
      </w:r>
    </w:p>
    <w:p>
      <w:pPr>
        <w:pStyle w:val="ListBullet"/>
      </w:pPr>
      <w:r>
        <w:t>Finance/admin support to maintain records, investor reporting and vendor management.</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Q: Marketing Channels</w:t>
      </w:r>
    </w:p>
    <w:p>
      <w:pPr>
        <w:pStyle w:val="ListBullet"/>
      </w:pPr>
      <w:r>
        <w:t>NBA branch visits, legal conferences, bar events and webinars.</w:t>
      </w:r>
    </w:p>
    <w:p>
      <w:pPr>
        <w:pStyle w:val="ListBullet"/>
      </w:pPr>
      <w:r>
        <w:t>LinkedIn campaigns targeting lawyers, firms and corporate legal teams.</w:t>
      </w:r>
    </w:p>
    <w:p>
      <w:pPr>
        <w:pStyle w:val="ListBullet"/>
      </w:pPr>
      <w:r>
        <w:t>Search content around finding lawyers, preparing briefs, legal jobs and practice areas.</w:t>
      </w:r>
    </w:p>
    <w:p>
      <w:pPr>
        <w:pStyle w:val="ListBullet"/>
      </w:pPr>
      <w:r>
        <w:t>Senior lawyer guest articles and mentorship announcements.</w:t>
      </w:r>
    </w:p>
    <w:p>
      <w:pPr>
        <w:pStyle w:val="ListBullet"/>
      </w:pPr>
      <w:r>
        <w:t>Employer-focused campaigns around legal recruitment, retainers and specialist opportunities.</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R: KPI Dashboard</w:t>
      </w:r>
    </w:p>
    <w:p>
      <w:pPr>
        <w:pStyle w:val="ListBullet"/>
      </w:pPr>
      <w:r>
        <w:t>Total registered users, lawyer profiles submitted and verified lawyer profiles.</w:t>
      </w:r>
    </w:p>
    <w:p>
      <w:pPr>
        <w:pStyle w:val="ListBullet"/>
      </w:pPr>
      <w:r>
        <w:t>Premium conversion rate, active premium members and monthly recurring revenue.</w:t>
      </w:r>
    </w:p>
    <w:p>
      <w:pPr>
        <w:pStyle w:val="ListBullet"/>
      </w:pPr>
      <w:r>
        <w:t>Profile views, direct client contacts, brief submissions and matched lawyers.</w:t>
      </w:r>
    </w:p>
    <w:p>
      <w:pPr>
        <w:pStyle w:val="ListBullet"/>
      </w:pPr>
      <w:r>
        <w:t>Articles submitted, published, reviewed and rejected.</w:t>
      </w:r>
    </w:p>
    <w:p>
      <w:pPr>
        <w:pStyle w:val="ListBullet"/>
      </w:pPr>
      <w:r>
        <w:t>Jobs posted, applications submitted and employer conversion.</w:t>
      </w:r>
    </w:p>
    <w:p>
      <w:pPr>
        <w:pStyle w:val="ListBullet"/>
      </w:pPr>
      <w:r>
        <w:t>Invoice usage, active invoice users and premium invoice conversion.</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S: Investor Reporting Template</w:t>
      </w:r>
    </w:p>
    <w:p>
      <w:pPr>
        <w:pStyle w:val="ListBullet"/>
      </w:pPr>
      <w:r>
        <w:t>Monthly investor update should include wins, challenges, metrics, revenue, burn, hiring and next-month priorities.</w:t>
      </w:r>
    </w:p>
    <w:p>
      <w:pPr>
        <w:pStyle w:val="ListBullet"/>
      </w:pPr>
      <w:r>
        <w:t>Report premium subscriptions, churn, pipeline, lawyer acquisition cost and support workload.</w:t>
      </w:r>
    </w:p>
    <w:p>
      <w:pPr>
        <w:pStyle w:val="ListBullet"/>
      </w:pPr>
      <w:r>
        <w:t>Include product releases, legal/compliance updates and notable partnerships.</w:t>
      </w:r>
    </w:p>
    <w:p>
      <w:pPr>
        <w:pStyle w:val="ListBullet"/>
      </w:pPr>
      <w:r>
        <w:t>Flag risks early and explain mitigation actions.</w:t>
      </w:r>
    </w:p>
    <w:p>
      <w:pPr>
        <w:pStyle w:val="ListBullet"/>
      </w:pPr>
      <w:r>
        <w:t>Keep tone factual, concise and consistent.</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T: Diligence Q&amp;A</w:t>
      </w:r>
    </w:p>
    <w:p>
      <w:pPr>
        <w:pStyle w:val="ListBullet"/>
      </w:pPr>
      <w:r>
        <w:t>Why will lawyers pay? Premium gives direct contact, publishing, visibility, online chat, invoices and matching benefits.</w:t>
      </w:r>
    </w:p>
    <w:p>
      <w:pPr>
        <w:pStyle w:val="ListBullet"/>
      </w:pPr>
      <w:r>
        <w:t>Why will clients use it? Clients need a simpler way to find credible lawyers and submit clear first briefs.</w:t>
      </w:r>
    </w:p>
    <w:p>
      <w:pPr>
        <w:pStyle w:val="ListBullet"/>
      </w:pPr>
      <w:r>
        <w:t>Why can this scale? Profiles, content, jobs, adverts and mentorship create network effects.</w:t>
      </w:r>
    </w:p>
    <w:p>
      <w:pPr>
        <w:pStyle w:val="ListBullet"/>
      </w:pPr>
      <w:r>
        <w:t>What is the moat? Trust, legal-specific workflow, professional brand, verified profiles and community depth.</w:t>
      </w:r>
    </w:p>
    <w:p>
      <w:pPr>
        <w:pStyle w:val="ListBullet"/>
      </w:pPr>
      <w:r>
        <w:t>What are the first proof points? Verified lawyers, premium conversion, client contacts, jobs, articles and repeat usage.</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U: Partnership Strategy</w:t>
      </w:r>
    </w:p>
    <w:p>
      <w:pPr>
        <w:pStyle w:val="ListBullet"/>
      </w:pPr>
      <w:r>
        <w:t>NBA branches and legal associations for lawyer acquisition and credibility.</w:t>
      </w:r>
    </w:p>
    <w:p>
      <w:pPr>
        <w:pStyle w:val="ListBullet"/>
      </w:pPr>
      <w:r>
        <w:t>Law firms for profiles, jobs, articles and mentorship.</w:t>
      </w:r>
    </w:p>
    <w:p>
      <w:pPr>
        <w:pStyle w:val="ListBullet"/>
      </w:pPr>
      <w:r>
        <w:t>Corporate employers for legal recruitment and retainer opportunities.</w:t>
      </w:r>
    </w:p>
    <w:p>
      <w:pPr>
        <w:pStyle w:val="ListBullet"/>
      </w:pPr>
      <w:r>
        <w:t>Legal education providers for training, events and sponsored content.</w:t>
      </w:r>
    </w:p>
    <w:p>
      <w:pPr>
        <w:pStyle w:val="ListBullet"/>
      </w:pPr>
      <w:r>
        <w:t>Technology and payment providers for reliable platform operations.</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V: Product Mock-up Requirements</w:t>
      </w:r>
    </w:p>
    <w:p>
      <w:pPr>
        <w:pStyle w:val="ListBullet"/>
      </w:pPr>
      <w:r>
        <w:t>LearnedCircle public home: premium legal brand, lawyer search, jobs, articles and call to action.</w:t>
      </w:r>
    </w:p>
    <w:p>
      <w:pPr>
        <w:pStyle w:val="ListBullet"/>
      </w:pPr>
      <w:r>
        <w:t>LegalCircle content hub: articles, debate, legal news, guest blog and mentorship.</w:t>
      </w:r>
    </w:p>
    <w:p>
      <w:pPr>
        <w:pStyle w:val="ListBullet"/>
      </w:pPr>
      <w:r>
        <w:t>Mobile app: fast search, lawyer profile, brief submission, chat and notifications.</w:t>
      </w:r>
    </w:p>
    <w:p>
      <w:pPr>
        <w:pStyle w:val="ListBullet"/>
      </w:pPr>
      <w:r>
        <w:t>Lawyer dashboard: profile status, premium badge, invoices, articles, messages and analytics.</w:t>
      </w:r>
    </w:p>
    <w:p>
      <w:pPr>
        <w:pStyle w:val="ListBullet"/>
      </w:pPr>
      <w:r>
        <w:t>Client dashboard: saved lawyers, submitted briefs, messages and application status.</w:t>
      </w:r>
    </w:p>
    <w:p>
      <w:pPr>
        <w:pStyle w:val="ListBullet"/>
      </w:pPr>
      <w:r>
        <w:t>AI assistant: brief builder, article outline helper and platform navigation assistant.</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W: African Expansion Logic</w:t>
      </w:r>
    </w:p>
    <w:p>
      <w:pPr>
        <w:pStyle w:val="ListBullet"/>
      </w:pPr>
      <w:r>
        <w:t>Do not expand before Nigeria proves lawyer acquisition, premium conversion and support operations.</w:t>
      </w:r>
    </w:p>
    <w:p>
      <w:pPr>
        <w:pStyle w:val="ListBullet"/>
      </w:pPr>
      <w:r>
        <w:t>Prioritise markets with strong legal professional associations and digital adoption.</w:t>
      </w:r>
    </w:p>
    <w:p>
      <w:pPr>
        <w:pStyle w:val="ListBullet"/>
      </w:pPr>
      <w:r>
        <w:t>Localise verification, professional rules, privacy requirements and payment methods.</w:t>
      </w:r>
    </w:p>
    <w:p>
      <w:pPr>
        <w:pStyle w:val="ListBullet"/>
      </w:pPr>
      <w:r>
        <w:t>Use content and mentorship as low-cost market-entry tools before heavy sales.</w:t>
      </w:r>
    </w:p>
    <w:p>
      <w:pPr>
        <w:pStyle w:val="ListBullet"/>
      </w:pPr>
      <w:r>
        <w:t>Build country playbooks from the Nigerian launch data.</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X: Exit and Return Logic</w:t>
      </w:r>
    </w:p>
    <w:p>
      <w:pPr>
        <w:pStyle w:val="ListBullet"/>
      </w:pPr>
      <w:r>
        <w:t>Subscription revenue can support a profitable independent business.</w:t>
      </w:r>
    </w:p>
    <w:p>
      <w:pPr>
        <w:pStyle w:val="ListBullet"/>
      </w:pPr>
      <w:r>
        <w:t>Marketplace traffic and verified professional data can attract strategic acquirers.</w:t>
      </w:r>
    </w:p>
    <w:p>
      <w:pPr>
        <w:pStyle w:val="ListBullet"/>
      </w:pPr>
      <w:r>
        <w:t>Legal publishers, professional-service platforms, recruitment platforms and compliance technology companies are natural strategic buyers.</w:t>
      </w:r>
    </w:p>
    <w:p>
      <w:pPr>
        <w:pStyle w:val="ListBullet"/>
      </w:pPr>
      <w:r>
        <w:t>Regional expansion can create a stronger valuation story for growth investors.</w:t>
      </w:r>
    </w:p>
    <w:p>
      <w:pPr>
        <w:pStyle w:val="ListBullet"/>
      </w:pPr>
      <w:r>
        <w:t>Investor returns depend on disciplined execution, trusted brand development and premium conversion.</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Y: Founder Talking Points</w:t>
      </w:r>
    </w:p>
    <w:p>
      <w:pPr>
        <w:pStyle w:val="ListBullet"/>
      </w:pPr>
      <w:r>
        <w:t>LearnedCircle is not a random collection of ideas; it is one legal ecosystem.</w:t>
      </w:r>
    </w:p>
    <w:p>
      <w:pPr>
        <w:pStyle w:val="ListBullet"/>
      </w:pPr>
      <w:r>
        <w:t>The site, brand, premium model, verification structure, content direction and database foundation are already in place.</w:t>
      </w:r>
    </w:p>
    <w:p>
      <w:pPr>
        <w:pStyle w:val="ListBullet"/>
      </w:pPr>
      <w:r>
        <w:t>Capital will mainly be used to employ the right people and market aggressively into the legal profession.</w:t>
      </w:r>
    </w:p>
    <w:p>
      <w:pPr>
        <w:pStyle w:val="ListBullet"/>
      </w:pPr>
      <w:r>
        <w:t>LegalCircle gives the platform a content and community engine, not just a listing page.</w:t>
      </w:r>
    </w:p>
    <w:p>
      <w:pPr>
        <w:pStyle w:val="ListBullet"/>
      </w:pPr>
      <w:r>
        <w:t>The goal is to become the trusted legal network for Nigeria, then Africa.</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p>
      <w:r>
        <w:br w:type="page"/>
      </w:r>
    </w:p>
    <w:p>
      <w:pPr>
        <w:pStyle w:val="Heading1"/>
      </w:pPr>
      <w:r>
        <w:rPr>
          <w:b/>
        </w:rPr>
        <w:t>Appendix Z: Investor Meeting Checklist</w:t>
      </w:r>
    </w:p>
    <w:p>
      <w:pPr>
        <w:pStyle w:val="ListBullet"/>
      </w:pPr>
      <w:r>
        <w:t>Send teaser before the meeting.</w:t>
      </w:r>
    </w:p>
    <w:p>
      <w:pPr>
        <w:pStyle w:val="ListBullet"/>
      </w:pPr>
      <w:r>
        <w:t>Use the pitch deck during the meeting.</w:t>
      </w:r>
    </w:p>
    <w:p>
      <w:pPr>
        <w:pStyle w:val="ListBullet"/>
      </w:pPr>
      <w:r>
        <w:t>Share the business plan and memo after qualified interest.</w:t>
      </w:r>
    </w:p>
    <w:p>
      <w:pPr>
        <w:pStyle w:val="ListBullet"/>
      </w:pPr>
      <w:r>
        <w:t>Open the data room only for serious investors.</w:t>
      </w:r>
    </w:p>
    <w:p>
      <w:pPr>
        <w:pStyle w:val="ListBullet"/>
      </w:pPr>
      <w:r>
        <w:t>Track every investor conversation in the investor database.</w:t>
      </w:r>
    </w:p>
    <w:p>
      <w:pPr>
        <w:pStyle w:val="ListBullet"/>
      </w:pPr>
      <w:r>
        <w:t>Follow up within 24 hours with agreed next steps.</w:t>
      </w:r>
    </w:p>
    <w:p>
      <w:pPr>
        <w:pStyle w:val="Heading2"/>
      </w:pPr>
      <w:r>
        <w:rPr>
          <w:b/>
        </w:rPr>
        <w:t>Why This Matters to Investors</w:t>
      </w:r>
    </w:p>
    <w:p>
      <w:pPr>
        <w:pStyle w:val="BodyText"/>
      </w:pPr>
      <w:r>
        <w:t>This appendix converts the idea into an operating plan. It shows investors that the business is not only attractive at the concept level, but also capable of being executed, measured, governed and improved after funding.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36E"/>
        <w:sz w:val="16"/>
      </w:rPr>
      <w:t>Powered by Advocati LP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8736E"/>
        <w:sz w:val="16"/>
      </w:rPr>
      <w:t>LearnedCircle Investor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326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3262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3451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B48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