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系统实际实现、数据库设计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t>[2] 张俊萌, 张华贵. 医疗机构物资流通管理信息系统的设计与实现[J]. 工业控制计算机, 2026, 39(04): 132-134.</w:t>
      </w:r>
    </w:p>
    <w:p w14:paraId="28BB835B" w14:textId="77777777" w:rsidR="00213222" w:rsidRDefault="00000000">
      <w:pPr>
        <w:spacing w:line="360" w:lineRule="auto"/>
        <w:rPr>
          <w:rFonts w:hint="eastAsia"/>
        </w:rPr>
      </w:pPr>
      <w:r>
        <w:t>[3]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t>[4]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t>[5]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要：针对高校物资管理中台账分散、审批流转不清晰、库存批次难以追踪和预警处理滞后等问题，本文围绕高校物资管理需求，设计并实现了校园物资智能管理系统。系统采用前后端分离架构，前端使用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仓间调拨、预警处理、通知记录、操作日志和统计分析等功能。本文所述智能能力限定为可解释的规则化和统计化辅助功能，包括低库存、积压、临期、过期和异常出库预警，按效期优先的批次扣减，基于固定校区关系的候选仓排序，以及基于历史出库数据的补货参考和趋势分析。测试结果显示，后端自动化测试、前端构建、前端单测和端到端流程验证均已通过，系统能够满足毕业设计阶段的功能演示与核心流程验证要求。</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trend reference based on historical outbound data.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多、使用部门分散，消耗节奏又会受到教学安排、实验活动和临时保障任务影响。若仍依赖纸质台账或分散表格，管理人员难以及时掌握全校库存余量、批次效期和申领进度，也不利于审批责任和物资去向追溯，因此有必要通过信息化方式组织物资流转流程[1][2]。</w:t>
      </w:r>
    </w:p>
    <w:p w14:paraId="061261DD" w14:textId="77777777" w:rsidR="00360632" w:rsidRDefault="00000000">
      <w:pPr>
        <w:spacing w:line="360" w:lineRule="auto"/>
        <w:ind w:firstLine="420"/>
        <w:rPr>
          <w:rFonts w:hint="eastAsia"/>
        </w:rPr>
      </w:pPr>
      <w:r>
        <w:t>系统围绕物资档案、仓库、库存、批次、申领、审批、出库、调拨、预警和统计分析构建核心数据结构。数据库设计中设置了物资、仓库、库存、批次、申领、调拨、预警、通知和日志等数据表，使系统不仅能够记录库存数量，也能够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从物资管理研究和行业实践看，信息化系统通常将入库、领用、审核、库存监控和风险提醒等环节统一管理，以减少人工统计和重复沟通成本[3][4]。高校实验室和后勤物资还涉及有效期、批次和安全合规问题，相关研究强调全生命周期管理、身份认证、异常提醒和数据分析的重要性[5]。本文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本文所述“智能管理”主要体现为规则化判断、候选仓排序、批次优先扣减、补货参考和图表统计等辅助能力。这些功能具有规则可解释、结果可复核的特点，能够为库存控制、调拨参考和运行分析提供支持。</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14:paraId="43C027F9" w14:textId="77777777" w:rsidR="00360632" w:rsidRDefault="00000000">
      <w:pPr>
        <w:spacing w:line="360" w:lineRule="auto"/>
        <w:ind w:firstLine="420"/>
        <w:rPr>
          <w:rFonts w:hint="eastAsia"/>
        </w:rPr>
      </w:pPr>
      <w:r>
        <w:t>本课题的工程意义在于将前后端分离、权限控制、事务处理、批次扣减和预警扫描组织为完整的管理闭环。系统围绕用户、物资、库存批次、申领单、调拨单和预警记录等业务对象组织功能，使需求分析、数据库设计、详细实现和测试验证能够对应到同一套业务链路。</w:t>
      </w:r>
    </w:p>
    <w:p w14:paraId="3DCA5BF7" w14:textId="77777777" w:rsidR="00360632" w:rsidRDefault="00000000">
      <w:pPr>
        <w:spacing w:line="360" w:lineRule="auto"/>
        <w:ind w:firstLine="420"/>
        <w:rPr>
          <w:rFonts w:hint="eastAsia"/>
        </w:rPr>
      </w:pPr>
      <w:r>
        <w:t>系统的规则化辅助能力主要体现在库存风险识别、统计汇总、补货参考和候选仓排序等方面。相关功能以业务规则和历史数据为基础，服务于日常库存控制和调拨决策参考，不依赖复杂模型或不可解释算法。</w:t>
      </w:r>
    </w:p>
    <w:p w14:paraId="1736EAC6"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能够降低会话依赖并提升权限管理清晰度[19]，但也需要关注业务逻辑漏洞和令牌使用风险[20]。本系统采用刷新令牌持久化、登录日志和操作日志等机制，为后续管理和问题排查提供依据。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的组合已广泛应用于高校信息化和管理系统开发[6][7][8]。结合本系统实际开发过程，后续章节重点讨论前后端分离、权限控制、库存业务处理和测试验证等与校园物资管理直接相关的工程方案。</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与本课题更接近的研究集中在物资流通、后勤物资和实验室物资管理等方向。相关成果为入库、领用、审批和库存追踪提供了流程建模参考，本文则结合系统实际实现、数据库设计和页面功能展开论述。</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近年来也有研究将预警、自动化流程和数据分析引入物资管理[21][22]。相比之下，本系统采用固定阈值、时间窗口、历史均值和候选排序等轻量方法，更符合本科毕业设计的实现规模。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本系统采用前后端分离技术路线。前端以 Vue 3、Vite、Pinia、Element Plus 和 ECharts 为主要技术基础，负责页面组织、状态管理、表单交互和图表展示；后端以 Spring Boot、Spring Security、JWT、MyBatis-Plus 和 MySQL 为核心，负责认证授权、业务规则、事务处理和数据持久化。整体技术选型服务于校园物资管理中的多角色访问、业务流程控制和库存数据追踪需求。</w:t>
      </w:r>
    </w:p>
    <w:p w14:paraId="02A3BB1D" w14:textId="77777777" w:rsidR="00360632" w:rsidRDefault="00000000">
      <w:pPr>
        <w:spacing w:line="360" w:lineRule="auto"/>
        <w:ind w:firstLine="420"/>
        <w:rPr>
          <w:rFonts w:hint="eastAsia"/>
        </w:rPr>
      </w:pPr>
      <w: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[6][7][11][12]。</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前端开发围绕多页面管理端展开。Vue 3 用于构建登录、基础数据、库存、申领、调拨、预警、统计、日志和通知等页面，Vue Router 负责页面路由组织，Pinia 保存登录状态、用户信息和菜单数据，Axios 统一封装接口请求。该组合能够满足管理系统多页面切换、状态联动和接口复用的需求，也与 Vue 在动态路由和可视化系统中的应用特点相契合[15][16]。</w:t>
      </w:r>
    </w:p>
    <w:p w14:paraId="43D9B667" w14:textId="77777777" w:rsidR="00360632" w:rsidRDefault="00000000">
      <w:pPr>
        <w:spacing w:line="360" w:lineRule="auto"/>
        <w:ind w:firstLine="420"/>
        <w:rPr>
          <w:rFonts w:hint="eastAsia"/>
        </w:rPr>
      </w:pPr>
      <w:r>
        <w:t>Element Plus 为系统提供表单、表格、对话框、分页和消息提示等通用交互组件，降低了后台管理页面的重复开发工作。ECharts 用于库存占比、出入库趋势、部门排行、效期统计和仓库分布等图表展示，相关页面数据均来自后端统计接口，使前端展示能够与业务数据保持一致。</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后端基于 Spring Boot 构建 REST API，并按控制、业务、数据访问和实体对象进行分层。控制层负责接收请求与统一响应，业务层负责状态控制、权限边界和事务处理，数据访问层负责实体映射与查询封装。分层结构能够降低页面接口、业务规则和数据库操作之间的耦合度。</w:t>
      </w:r>
    </w:p>
    <w:p w14:paraId="29D0B376" w14:textId="77777777" w:rsidR="00360632" w:rsidRDefault="00000000">
      <w:pPr>
        <w:spacing w:line="360" w:lineRule="auto"/>
        <w:ind w:firstLine="420"/>
        <w:rPr>
          <w:rFonts w:hint="eastAsia"/>
        </w:rPr>
      </w:pPr>
      <w:r>
        <w:t>MyBatis-Plus 主要承担基础 CRUD、分页查询、逻辑删除和乐观锁更新，适合处理本系统中用户、物资、仓库、库存、单据和日志等常规数据维护场景。对于统计分析、补货参考等需要聚合计算的查询，系统结合更直接的 SQL 查询方式完成数据汇总。</w:t>
      </w:r>
    </w:p>
    <w:p w14:paraId="46819237" w14:textId="77777777" w:rsidR="00213222" w:rsidRDefault="00000000">
      <w:pPr>
        <w:spacing w:line="360" w:lineRule="auto"/>
        <w:ind w:firstLine="420"/>
        <w:rPr>
          <w:rFonts w:hint="eastAsia"/>
        </w:rPr>
      </w:pPr>
      <w:r>
        <w:t>MySQL 8 用作正式业务数据库，H2 用于测试和截图环境。数据库索引主要覆盖用户角色、批次出库、预警查询、日志时间和通知时间等高频访问场景。基于 Java 与 MySQL 的管理信息系统实践表明，此类技术路线能够较好支撑业务数据持久化与查询组织[14]。</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和认证过滤机制共同完成。系统对登录、刷新令牌和接口文档等少数地址放行，其余接口均要求认证；后端解析 Authorization 头中的令牌并构建当前用户上下文，再结合角色菜单和方法级权限完成访问控制。JWT 与 RBAC 在前后端分离系统中的应用研究可为该设计提供技术背景[19][20]。</w:t>
      </w:r>
    </w:p>
    <w:p w14:paraId="3AB7AA07" w14:textId="77777777" w:rsidR="00360632" w:rsidRDefault="00000000">
      <w:pPr>
        <w:spacing w:line="360" w:lineRule="auto"/>
        <w:ind w:firstLine="420"/>
        <w:rPr>
          <w:rFonts w:hint="eastAsia"/>
        </w:rPr>
      </w:pPr>
      <w:r>
        <w:t>刷新令牌采用持久化与轮换策略，系统保存令牌标识、哈希、过期时间和撤销状态，刷新成功后撤销旧记录并签发新令牌。可视化方面，系统将库存、出入库、部门排行、效期统计和仓库分布等数据以图表方式展示，帮助管理人员从汇总视角了解物资流转情况。</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面向高校物资管理场景，核心角色包括系统管理员、仓库管理员、审批人员和部门用户。系统管理员负责全局配置与基础数据维护，仓库管理员负责仓库、库存、出入库、调拨执行和预警处理，审批人员负责申领单和调拨单审核，部门用户负责物资申领、状态查看和签收确认。上述角色划分与系统当前的权限菜单、前端路由和初始化数据保持一致。</w:t>
      </w:r>
    </w:p>
    <w:p w14:paraId="26786DBB" w14:textId="77777777" w:rsidR="00360632" w:rsidRDefault="00000000">
      <w:pPr>
        <w:spacing w:line="360" w:lineRule="auto"/>
        <w:ind w:firstLine="420"/>
        <w:rPr>
          <w:rFonts w:hint="eastAsia"/>
        </w:rPr>
      </w:pPr>
      <w: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一致性要求主要体现在库存相关流程。入库、出库、申领锁定和调拨执行都会同时影响多张表，因此关键业务逻辑需要在事务中完成库存校验、批次扣减、锁定释放和单据回写。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r>
              <w:t>后端按控制、业务、数据访问和实体对象分层，前端按视图和通用组件组织。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r>
              <w:t>提供后端单元与集成测试、前端单元测试、端到端流程验证和本地性能基线脚本。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用于测试和截图环境。系统整体架构如图4-1所示。</w:t>
      </w:r>
    </w:p>
    <w:p w14:paraId="5F00DAE1" w14:textId="77777777" w:rsidR="00360632" w:rsidRDefault="00000000">
      <w:pPr>
        <w:spacing w:line="360" w:lineRule="auto"/>
        <w:ind w:firstLine="420"/>
        <w:rPr>
          <w:rFonts w:hint="eastAsia"/>
        </w:rPr>
      </w:pPr>
      <w:r>
        <w:t>后端采用单体应用形态，各业务模块通过分层结构划分职责。Actuator、Prometheus 指标和 Sentry 依赖主要用于工程观测、运行指标采集和异常记录，便于在统一应用中开展状态监控与问题定位。</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业务职责划分为认证授权、权限与基础资料、库存出入库、申领审批、调拨管理、预警中心、统计分析、通知记录、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如图4-3所示，前端页面到后端数据库的交互流程包括页面输入、请求封装、令牌携带、接口分发、业务处理、数据访问和页面刷新。用户在页面输入查询条件或提交表单后，前端请求工具携带 JWT 调用接口；后端先完成认证校验，再进入业务处理和数据访问流程；数据库返回结果后，后端统一包装响应，前端根据返回数据更新状态、表格或图表。该流程概括了页面输入、请求鉴权、业务处理和结果返回的完整链路。</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为前缀，登录、刷新、当前用户和菜单由认证授权接口提供，申领、库存、调拨、预警、统计、通知和日志由对应业务接口提供。统一响应和分页结果封装能够使前后端交互保持一致。</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天出库量对比实现；补货参考结合安全库存、当前库存和近 30 天出库量计算建议数量；出库趋势参考基于近 6 个月出库历史生成历史均值结果。</w:t>
      </w:r>
    </w:p>
    <w:p w14:paraId="49D93521" w14:textId="77777777" w:rsidR="00360632" w:rsidRDefault="00000000">
      <w:pPr>
        <w:spacing w:line="360" w:lineRule="auto"/>
        <w:ind w:firstLine="420"/>
        <w:rPr>
          <w:rFonts w:hint="eastAsia"/>
        </w:rPr>
      </w:pPr>
      <w:r>
        <w:t>调拨推荐用于辅助候选仓选择。系统在满足数量需求的仓库范围内，结合校区间距离关系对候选仓进行排序，为调拨申请提供参考依据。</w:t>
      </w:r>
    </w:p>
    <w:p w14:paraId="2CD81A51" w14:textId="77777777" w:rsidR="00213222" w:rsidRDefault="00000000">
      <w:pPr>
        <w:spacing w:line="360" w:lineRule="auto"/>
        <w:ind w:firstLine="420"/>
        <w:rPr>
          <w:rFonts w:hint="eastAsia"/>
        </w:rPr>
      </w:pPr>
      <w:r>
        <w:t>本文所述智能能力主要指规则化和统计化辅助能力。结合相关研究[21][22]，本文将系统的智能化表述限定为预警生成、候选仓排序、批次优先扣减、补货参考和统计展示等可复核内容。系统当前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r>
              <w:t>库存数量与安全库存阈值比较</w:t>
            </w:r>
          </w:p>
        </w:tc>
        <w:tc>
          <w:tcPr>
            <w:tcW w:w="3402" w:type="dxa"/>
            <w:tcBorders>
              <w:top w:val="single" w:sz="4" w:space="0" w:color="000000"/>
              <w:left w:val="single" w:sz="4" w:space="0" w:color="000000"/>
              <w:bottom w:val="single" w:sz="4" w:space="0" w:color="000000"/>
              <w:right w:val="single" w:sz="4" w:space="0" w:color="000000"/>
            </w:tcBorders>
            <w:vAlign w:val="center"/>
          </w:tcPr>
          <w:p>
            <w:r>
              <w:t>写低库存、积压等规则，强调可解释判断。</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r>
              <w:t>批次过期日期与当前日期比较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r>
              <w:t>按批次效期和记录顺序扣减库存</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r>
              <w:t>调拨参考</w:t>
            </w:r>
          </w:p>
        </w:tc>
        <w:tc>
          <w:tcPr>
            <w:tcW w:w="3402" w:type="dxa"/>
            <w:tcBorders>
              <w:top w:val="single" w:sz="4" w:space="0" w:color="000000"/>
              <w:left w:val="single" w:sz="4" w:space="0" w:color="000000"/>
              <w:bottom w:val="single" w:sz="4" w:space="0" w:color="000000"/>
              <w:right w:val="single" w:sz="4" w:space="0" w:color="000000"/>
            </w:tcBorders>
            <w:vAlign w:val="center"/>
          </w:tcPr>
          <w:p>
            <w:r>
              <w:t>固定校区距离关系与库存满足情况排序</w:t>
            </w:r>
          </w:p>
        </w:tc>
        <w:tc>
          <w:tcPr>
            <w:tcW w:w="3402" w:type="dxa"/>
            <w:tcBorders>
              <w:top w:val="single" w:sz="4" w:space="0" w:color="000000"/>
              <w:left w:val="single" w:sz="4" w:space="0" w:color="000000"/>
              <w:bottom w:val="single" w:sz="4" w:space="0" w:color="000000"/>
              <w:right w:val="single" w:sz="4" w:space="0" w:color="000000"/>
            </w:tcBorders>
            <w:vAlign w:val="center"/>
          </w:tcPr>
          <w:p>
            <w: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r>
              <w:t>近 30 天出库量、当前库存和保障天数</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r>
              <w:t>出库趋势参考</w:t>
            </w:r>
          </w:p>
        </w:tc>
        <w:tc>
          <w:tcPr>
            <w:tcW w:w="3402" w:type="dxa"/>
            <w:tcBorders>
              <w:top w:val="single" w:sz="4" w:space="0" w:color="000000"/>
              <w:left w:val="single" w:sz="4" w:space="0" w:color="000000"/>
              <w:bottom w:val="single" w:sz="4" w:space="0" w:color="000000"/>
              <w:right w:val="single" w:sz="4" w:space="0" w:color="000000"/>
            </w:tcBorders>
            <w:vAlign w:val="center"/>
          </w:tcPr>
          <w:p>
            <w:r>
              <w:t>近 6 个月出库历史均值</w:t>
            </w:r>
          </w:p>
        </w:tc>
        <w:tc>
          <w:tcPr>
            <w:tcW w:w="3402" w:type="dxa"/>
            <w:tcBorders>
              <w:top w:val="single" w:sz="4" w:space="0" w:color="000000"/>
              <w:left w:val="single" w:sz="4" w:space="0" w:color="000000"/>
              <w:bottom w:val="single" w:sz="4" w:space="0" w:color="000000"/>
              <w:right w:val="single" w:sz="4" w:space="0" w:color="000000"/>
            </w:tcBorders>
            <w:vAlign w:val="center"/>
          </w:tcPr>
          <w:p>
            <w:r>
              <w:t>写历史均值参考，不写模型训练。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r>
              <w:t>后端聚合库存和出入库数据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记录部门名称和父级部门，支撑部门用户归属；sys_role 记录角色编码、角色名称和说明，支撑菜单和权限边界；sys_user 保存用户名、加密密码、真实姓名、部门、角色和启停状态；auth_refresh_token 保存 refresh token 的用户、令牌标识、哈希、过期时间和撤销状态。认证模块登录成功后会写入刷新令牌，刷新时校验哈希并撤销旧记录。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r>
        <w:t>相关索引设计与查询优化思路可参照 MySQL 应用实践与性能优化研究[17][18]。</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开发与运行环境结合系统实际配置确定。后端使用 Java 17、Spring Boot 3.3.5 和 Maven，开发环境采用 dev profile，测试环境使用 H2；前端使用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登录时，前端调用认证接口提交用户名和密码，后端读取用户名、IP 和 user_agent，从用户表查询账号并使用 BCrypt 校验密码与账号状态。认证通过后，系统生成 access token 和 refresh token，将刷新令牌标识、哈希、过期时间和撤销状态写入持久化记录，并同步记录登录日志。</w:t>
      </w:r>
    </w:p>
    <w:p w14:paraId="3C67C135" w14:textId="77777777" w:rsidR="00360632" w:rsidRDefault="00000000">
      <w:pPr>
        <w:spacing w:line="360" w:lineRule="auto"/>
        <w:ind w:firstLine="420"/>
        <w:rPr>
          <w:rFonts w:hint="eastAsia"/>
        </w:rPr>
      </w:pPr>
      <w:r>
        <w:t>请求鉴权由 Spring Security 过滤链完成。系统放行登录、刷新令牌和接口文档等少数地址，其余业务接口需要登录；前端通过 Axios 在 Authorization 头中携带 token，后端解析令牌后将用户身份放入安全上下文。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角色菜单在认证模块中统一生成，前端根据返回的用户信息和菜单渲染导航，并对安全策略等页面追加管理员角色限制，从而保持页面可见范围与后端权限边界一致。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认证授权模块由登录接口、令牌生成组件、认证过滤器和安全配置共同支撑。登录时系统校验用户名、账号状态和 BCrypt 密码，成功后签发 access token 和 refresh token，并记录登录日志。refresh token 不以明文保存，而是保存令牌标识、哈希、过期时间和撤销状态。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用户与角色管理模块负责账号、角色和部门维护。新增用户必须填写密码并通过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基础数据模块还包括校区、仓库、库位、供应商、物资分类和物资档案。相关接口主要提供列表查询、保存和删除等能力，数据持久化通过 MyBatis-Plus 完成。这些模块虽以基础维护为主，但为库存、申领、调拨和预警等核心业务提供主数据支撑。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入库管理由页面表单、库存接口和后端业务逻辑共同完成。用户填写仓库、来源类型和物资明细后，系统创建入库主记录与入库明细，未提供批次号时由后端按时间生成批次号。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14:paraId="49B26077" w14:textId="77777777" w:rsidR="00360632" w:rsidRDefault="00000000">
      <w:pPr>
        <w:spacing w:line="360" w:lineRule="auto"/>
        <w:ind w:firstLine="420"/>
        <w:rPr>
          <w:rFonts w:hint="eastAsia"/>
        </w:rPr>
      </w:pPr>
      <w:r>
        <w:t>入库业务的执行顺序如图6-9所示。该流程对应入库单、入库明细、库存汇总和库存批次等数据结构，展示了入库业务对批次管理和库存汇总的同步影响。</w:t>
      </w:r>
    </w:p>
    <w:p w14:paraId="5B2B8780" w14:textId="77777777" w:rsidR="00360632" w:rsidRDefault="00000000">
      <w:pPr>
        <w:spacing w:line="360" w:lineRule="auto"/>
        <w:ind w:firstLine="420"/>
        <w:rPr>
          <w:rFonts w:hint="eastAsia"/>
        </w:rPr>
      </w:pPr>
      <w:r>
        <w:t>出库处理通过库存出库接口完成。普通出库可以独立创建，申领出库则需要校验申领单状态、锁定仓库和明细实发数量，避免超出申请范围或从错误仓库出库。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库存查询页面集中展示物资、仓库、当前数量、锁定数量和批次相关信息，便于仓库管理员核对库存状态。库存查询页面展示如图6-3所示。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申领出库与普通出库的差别在于，申领出库需要检查申领单是否已锁定到当前仓库，并在出库后回写申领明细的实发数量。这些操作位于同一事务中，避免库存汇总、批次余量和申领单明细不一致。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部门用户创建申领单时，前端提交物资、数量、紧急等级、申请原因和场景说明，后端生成申领主表和申领明细，初始状态为草稿。草稿机制便于用户先保存明细再提交审批。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r>
        <w:t>申领审批严格依赖状态流转。普通申领由 SUBMITTED 经审批进入 APPROVED，驳回时释放锁定库存；紧急等级达到阈值时，系统记录快速处理标记和审批信息，用于支撑后续出库流程。仓库出库后单据进入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调拨单需要填写调出仓、调入仓和明细，状态依次经历草稿、已提交、已审批、已出库和已接收，驳回状态用于终止不符合要求的调拨申请。该状态集合支撑系统的完整调拨流程。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候选仓排序接口先筛选库存满足需求的仓库，再根据固定校区图计算距离并排序，为调拨申请提供与校区距离相关的候选仓参考结果。</w:t>
      </w:r>
      <w:proofErr w:type="gramStart"/>
      <w:r/>
      <w:proofErr w:type="gramEnd"/>
      <w:r/>
    </w:p>
    <w:p w14:paraId="355E6E71" w14:textId="77777777" w:rsidR="00213222" w:rsidRDefault="00000000">
      <w:pPr>
        <w:spacing w:line="360" w:lineRule="auto"/>
        <w:ind w:firstLine="420"/>
        <w:rPr>
          <w:rFonts w:hint="eastAsia"/>
        </w:rPr>
      </w:pPr>
      <w:r>
        <w:t>申领流程通过状态节点控制。部门用户创建申领单后可提交审批，系统聚合申领明细并选择可满足全部物资需求的仓库进行库存锁定；审批通过后由仓库管理员执行出库，部门用户签收后完成闭环。</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t>调拨执行时，系统按 FEFO 顺序扣减来源仓批次，并在目标仓生成带有调拨单号后缀的镜像批次，随后分别更新来源仓和目标仓的库存汇总。该处理过程保证调拨单状态、批次余量和两侧库存变化保持一致。</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预警扫描逻辑既支持定时任务每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低库存和积压预警依赖库存汇总与物资档案。当当前库存低于物资安全库存时生成低库存预警；当当前库存超过安全库存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14:paraId="3F74FB07" w14:textId="77777777" w:rsidR="00360632" w:rsidRDefault="00000000">
      <w:pPr>
        <w:spacing w:line="360" w:lineRule="auto"/>
        <w:ind w:firstLine="420"/>
        <w:rPr>
          <w:rFonts w:hint="eastAsia"/>
        </w:rPr>
      </w:pPr>
      <w:r>
        <w:t>预警去重逻辑用于避免同一风险重复堆积。系统在生成新预警前，会按类型、物资、仓库和未处理状态检查是否已有记录。</w:t>
      </w:r>
    </w:p>
    <w:p w14:paraId="05CF1E01" w14:textId="77777777" w:rsidR="00360632" w:rsidRDefault="00000000">
      <w:pPr>
        <w:spacing w:line="360" w:lineRule="auto"/>
        <w:ind w:firstLine="420"/>
        <w:rPr>
          <w:rFonts w:hint="eastAsia"/>
        </w:rPr>
      </w:pPr>
      <w:r>
        <w:t>统计分析模块提供总览、库存占比、出入库趋势、部门排行、效期统计、仓库分布和应急消耗等接口，前端使用 ECharts 渲染结果，运营总览和大屏页面复用部分统计数据。</w:t>
      </w:r>
    </w:p>
    <w:p w14:paraId="75BEB366" w14:textId="77777777" w:rsidR="00360632" w:rsidRDefault="00000000">
      <w:pPr>
        <w:spacing w:line="360" w:lineRule="auto"/>
        <w:ind w:firstLine="420"/>
        <w:rPr>
          <w:rFonts w:hint="eastAsia"/>
        </w:rPr>
      </w:pPr>
      <w:r>
        <w:t>补货建议逻辑结合当前库存、安全库存、近 30 天出库量和保障天数计算目标库存与建议补货量，结果主要作为仓储管理员的补货参考。</w:t>
      </w:r>
    </w:p>
    <w:p w14:paraId="2FF5423F" w14:textId="77777777" w:rsidR="00360632" w:rsidRDefault="00000000">
      <w:pPr>
        <w:spacing w:line="360" w:lineRule="auto"/>
        <w:ind w:firstLine="420"/>
        <w:rPr>
          <w:rFonts w:hint="eastAsia"/>
        </w:rPr>
      </w:pPr>
      <w:r>
        <w:t>出库趋势参考按月汇总指定物资近 6 个月的出库量，并以历史月均值作为后续库存规划的参考数据。</w:t>
      </w:r>
    </w:p>
    <w:p w14:paraId="6EFB3DD4" w14:textId="77777777" w:rsidR="00213222" w:rsidRDefault="00000000">
      <w:pPr>
        <w:spacing w:line="360" w:lineRule="auto"/>
        <w:ind w:firstLine="420"/>
        <w:rPr>
          <w:rFonts w:hint="eastAsia"/>
        </w:rPr>
      </w:pPr>
      <w:r>
        <w:t>预警管理页面集中展示低库存、积压、临期、过期和异常出库五类记录，并支持按处理状态筛选与人工处理。相关功能页面展示如图6-7所示。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补货参考根据物资安全库存、当前库存、近 30 天出库量和保障天数计算建议数量；出库趋势分析按近 6 个月出库历史聚合月度数量，并用历史均值生成后续月份参考值。该功能用于辅助库存规划和统计分析。统计分析页面展示如图6-8所示。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日志模块分为登录日志和操作日志。认证流程负责记录登录用户、IP、状态、时间和 user_agent，业务处理流程在创建、提交、审批、出入库、调拨和预警处理后写入操作日志，便于管理员按模块或时间追踪关键操作。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表保存标题、内容、消息类型、目标用户、已读状态和业务关联信息，前端提供列表、未读数量、标记已读、全部已读和删除能力，通知功能以站内消息方式呈现。</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Test；前端单测使用 Vitest；端到端流程使用 Playwright 启动截图测试环境和前端预览服务；性能基线使用 k6 脚本记录登录、库存分页、预警分页和操作日志分页的本地结果。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清理、申领服务、调拨服务、预警控制器和核心流程集成测试。核心流程集成测试在真实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前端执行生产构建后，Vite 打包成功；执行前端单元测试后，3 个测试文件、8 项测试通过；执行端到端流程测试后，4 个场景通过。E2E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r>
              <w:t>核心流程集成测试、认证相关测试</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r>
              <w:t>核心流程集成测试、申领相关测试</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r>
              <w:t>库存业务测试、集成测试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r>
              <w:t>调拨业务测试、端到端流程验证</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r>
              <w:t>预警处理测试、端到端流程验证</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项目提供登录、库存列表、预警列表和操作日志列表等接口的本地性能基线材料。性能章节用于说明系统具备接口级基线验证能力，相关结果仅用于相同环境下的对比参考。</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本地性能基线采集于截图测试环境和隔离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r>
              <w:t>基线材料</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r>
              <w:t>登录接口基线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库存分页基线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预警分页基线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操作日志分页基线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本文围绕校园物资智能管理系统完成了需求分析、总体设计、数据库设计、详细实现和系统测试。系统采用 Spring Boot 与 Vue 前后端分离架构，结合 MySQL 数据库、JWT 认证、角色权限和事务处理机制，完成了基础资料维护、库存与批次管理、物资申领审批、出库签收、仓库调拨、预警处理、通知记录、操作日志和统计分析等功能，形成了面向校园物资管理场景的完整业务系统。</w:t>
      </w:r>
    </w:p>
    <w:p w14:paraId="37FA124D" w14:textId="77777777" w:rsidR="00360632" w:rsidRDefault="00000000">
      <w:pPr>
        <w:spacing w:line="360" w:lineRule="auto"/>
        <w:ind w:firstLine="420"/>
        <w:rPr>
          <w:rFonts w:hint="eastAsia"/>
        </w:rPr>
      </w:pPr>
      <w:r>
        <w:t>从实现效果看，系统通过库存汇总、批次记录、申领单、调拨单、预警记录、通知记录和操作日志保存物资流转过程中的关键数据，能够对入库、出库、申领审批、调拨执行和预警处置等流程进行追踪。系统中的规则化预警、FEFO 批次扣减、候选仓排序、补货参考和统计分析均以业务规则和历史数据为依据，具有可解释、可复核的特点。测试结果表明，系统能够满足毕业设计阶段的功能演示与核心流程验证要求。</w:t>
      </w:r>
    </w:p>
    <w:p w14:paraId="0F9CE13A" w14:textId="77777777" w:rsidR="00360632" w:rsidRDefault="00000000">
      <w:pPr>
        <w:spacing w:line="360" w:lineRule="auto"/>
        <w:ind w:firstLine="420"/>
        <w:rPr>
          <w:rFonts w:hint="eastAsia"/>
        </w:rPr>
      </w:pPr>
      <w:r>
        <w:t>后续优化可围绕移动端适配、调拨参考策略细化、历史数据利用、备份恢复、权限审计和运行监控等方向展开。在保持现有核心业务模型稳定的基础上，进一步完善不同终端下的使用体验、业务规则配置能力和运行保障机制，有助于提升系统在校园物资管理场景中的适用性。</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t>行文至此，本科毕业设计与论文撰写工作已接近尾声。回顾整个过程，从选题确定、资料查阅、需求分析，到系统设计、功能实现、论文撰写和格式调整，每一个环节都离不开老师的指导、同学的帮助以及家人的支持。论文中的章节内容和系统中的功能模块，都是在持续修改和完善中逐步形成的，这段经历也让我对软件工程实践和论文写作有了更加具体的认识。</w:t>
      </w:r>
    </w:p>
    <w:p w14:paraId="1EDD79B6" w14:textId="77777777" w:rsidR="000736FC" w:rsidRPr="00111A86" w:rsidRDefault="000736FC" w:rsidP="000736FC">
      <w:pPr>
        <w:spacing w:line="360" w:lineRule="auto"/>
        <w:ind w:firstLine="420"/>
        <w:rPr>
          <w:rFonts w:hint="eastAsia"/>
        </w:rPr>
      </w:pPr>
      <w:r>
        <w:t>首先，衷心感谢我的论文指导老师。在毕业设计开展过程中，老师从选题方向、系统功能设计、论文结构安排到技术路线确定等方面给予了细致指导。当我对部分功能设计理解不够清晰，或论文表达不够规范时，老师能够及时指出问题，并提出有针对性的修改建议。通过多轮调整，我逐步理清了系统设计思路，也进一步完善了论文内容。老师认真负责的治学态度使我深受触动，也让我认识到毕业设计不仅要完成系统功能，更要清楚说明设计逻辑和实现依据。</w:t>
      </w:r>
    </w:p>
    <w:p w14:paraId="319300A7" w14:textId="77777777" w:rsidR="000736FC" w:rsidRPr="00111A86" w:rsidRDefault="000736FC" w:rsidP="000736FC">
      <w:pPr>
        <w:spacing w:line="360" w:lineRule="auto"/>
        <w:ind w:firstLine="420"/>
        <w:rPr>
          <w:rFonts w:hint="eastAsia"/>
        </w:rPr>
      </w:pPr>
      <w:r>
        <w:t>其次，感谢大学期间教导过我的各位老师。四年的学习过程中，老师们不仅在课堂上传授专业知识，也在课程实践和项目训练中引导我们分析问题、解决问题。从程序设计、数据库原理，到软件工程、Web 开发等课程，这些知识在本次毕业设计中都得到了综合运用，也让我更加体会到专业基础的重要性。各位老师的教导使我在专业学习上形成了更清晰的方向，并为完成毕业设计奠定了基础。</w:t>
      </w:r>
    </w:p>
    <w:p w14:paraId="6F8CCFB8" w14:textId="77777777" w:rsidR="000736FC" w:rsidRPr="00111A86" w:rsidRDefault="000736FC" w:rsidP="000736FC">
      <w:pPr>
        <w:spacing w:line="360" w:lineRule="auto"/>
        <w:ind w:firstLine="420"/>
        <w:rPr>
          <w:rFonts w:hint="eastAsia"/>
        </w:rPr>
      </w:pPr>
      <w:r>
        <w:t>同时，感谢我的同学、室友和朋友们。大学四年中，大家一起上课、讨论问题、完成作业和项目，也在遇到困难时相互鼓励。毕业设计和论文撰写期间，来自同学和朋友的交流与建议，帮助我在遇到问题时重新梳理思路、调整状态。能够与大家相识、相处并共同经历这段学习生活，是我大学阶段非常珍贵的收获。</w:t>
      </w:r>
    </w:p>
    <w:p w14:paraId="0809C9DF" w14:textId="77777777" w:rsidR="000736FC" w:rsidRPr="00111A86" w:rsidRDefault="000736FC" w:rsidP="000736FC">
      <w:pPr>
        <w:spacing w:line="360" w:lineRule="auto"/>
        <w:ind w:firstLine="420"/>
        <w:rPr>
          <w:rFonts w:hint="eastAsia"/>
        </w:rPr>
      </w:pPr>
      <w:r>
        <w:t>还要感谢我的父母和家人。大学四年里，你们始终在背后支持和鼓励我，让我能够安心完成学习任务和毕业设计。虽然你们并不直接参与我的专业学习过程，但你们的理解、关心和支持给了我很大的力量。无论是在生活中，还是在面对压力和困难时，家人始终是我最坚实的依靠。临近毕业，我更加体会到你们多年付出的不易，心中充满感激。</w:t>
      </w:r>
    </w:p>
    <w:p w14:paraId="7A922595" w14:textId="77777777" w:rsidR="000736FC" w:rsidRPr="00111A86" w:rsidRDefault="000736FC" w:rsidP="000736FC">
      <w:pPr>
        <w:spacing w:line="360" w:lineRule="auto"/>
        <w:ind w:firstLine="420"/>
        <w:rPr>
          <w:rFonts w:hint="eastAsia"/>
        </w:rPr>
      </w:pPr>
      <w:r>
        <w:t>四年的大学时光十分宝贵。从初入校园时的陌生，到如今即将完成本科阶段的学习，我在专业知识、实践能力和心态上都有了明显成长。课堂学习、图书馆里的阅读、宿舍中的交流，以及为系统功能和论文内容反复修改的经历，都是本科生活中真实而难忘的组成部分。</w:t>
      </w:r>
    </w:p>
    <w:p w14:paraId="3AD1279C" w14:textId="53B8C076" w:rsidR="00213222" w:rsidRDefault="000736FC" w:rsidP="000736FC">
      <w:pPr>
        <w:spacing w:line="360" w:lineRule="auto"/>
        <w:ind w:firstLine="420"/>
        <w:rPr>
          <w:rFonts w:hint="eastAsia"/>
        </w:rPr>
      </w:pPr>
      <w:r>
        <w:t>感谢所有在大学四年里关心、帮助和鼓励过我的老师、同学、朋友和家人。论文完成意味着本科阶段学习任务即将告一段落，也意味着新的学习和工作阶段即将开始。今后无论继续学习还是走向新的环境，我都会珍惜这段经历带来的收获，保持认真踏实的态度，继续提升自己。</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附录内容用于补充正文中不宜展开的接口入口与测试范围说明，所有条目均来源于系统实际接口、业务模块和测试材料。</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r>
              <w:t>对应功能</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r>
              <w:t>认证授权模块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r>
              <w:t>库存与批次模块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r>
              <w:t>申领审批模块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r>
              <w:t>调拨管理模块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r>
              <w:t>预警与统计模块</w:t>
            </w:r>
          </w:p>
        </w:tc>
        <w:tc>
          <w:tcPr>
            <w:tcW w:w="2381" w:type="dxa"/>
            <w:tcBorders>
              <w:top w:val="single" w:sz="4" w:space="0" w:color="000000"/>
              <w:left w:val="single" w:sz="4" w:space="0" w:color="000000"/>
              <w:bottom w:val="single" w:sz="4" w:space="0" w:color="000000"/>
              <w:right w:val="single" w:sz="4" w:space="0" w:color="000000"/>
            </w:tcBorders>
            <w:vAlign w:val="center"/>
          </w:tcPr>
          <w:p>
            <w:r>
              <w:t>支撑预警扫描、补货参考、出库趋势参考和图表统计。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附录测试范围包括后端自动化测试、前端单元测试、前端生产构建、端到端流程验证和本地性能基线，具体执行方式保留在项目测试材料中。</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