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5966">
      <w:pPr>
        <w:spacing w:before="468" w:beforeLines="150" w:after="312" w:afterLines="100"/>
        <w:ind w:firstLine="0" w:firstLineChars="0"/>
        <w:jc w:val="center"/>
      </w:pPr>
      <w:r>
        <w:drawing>
          <wp:inline distT="0" distB="0" distL="0" distR="0">
            <wp:extent cx="3569970" cy="564515"/>
            <wp:effectExtent l="0" t="0" r="11430" b="6985"/>
            <wp:docPr id="1" name="对象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对象 1"/>
                    <pic:cNvPicPr/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45C5">
      <w:pPr>
        <w:ind w:firstLine="0" w:firstLineChars="0"/>
        <w:jc w:val="center"/>
        <w:rPr>
          <w:rFonts w:eastAsia="黑体"/>
          <w:sz w:val="56"/>
          <w:szCs w:val="56"/>
        </w:rPr>
      </w:pPr>
      <w:r>
        <w:rPr>
          <w:rFonts w:hint="eastAsia" w:eastAsia="黑体"/>
          <w:sz w:val="56"/>
          <w:szCs w:val="56"/>
        </w:rPr>
        <w:t>《机器学习》课程实验报告</w:t>
      </w:r>
    </w:p>
    <w:p w14:paraId="69325461">
      <w:pPr>
        <w:ind w:firstLine="0" w:firstLineChars="0"/>
        <w:rPr>
          <w:rFonts w:eastAsia="黑体"/>
          <w:sz w:val="52"/>
          <w:szCs w:val="52"/>
        </w:rPr>
      </w:pPr>
    </w:p>
    <w:p w14:paraId="4ADC07D2">
      <w:pPr>
        <w:ind w:firstLine="0" w:firstLineChars="0"/>
        <w:jc w:val="center"/>
      </w:pPr>
      <w:r>
        <w:drawing>
          <wp:inline distT="0" distB="0" distL="0" distR="0">
            <wp:extent cx="1797050" cy="1797050"/>
            <wp:effectExtent l="0" t="0" r="0" b="0"/>
            <wp:docPr id="2" name="图片 3" descr="C:\Users\27505\Documents\Tencent Files\275059316\FileRecv\新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C:\Users\27505\Documents\Tencent Files\275059316\FileRecv\新校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E36B">
      <w:pPr>
        <w:ind w:firstLine="0" w:firstLineChars="0"/>
        <w:jc w:val="center"/>
        <w:rPr>
          <w:color w:val="000000"/>
        </w:rPr>
      </w:pPr>
    </w:p>
    <w:p w14:paraId="003581CD">
      <w:pPr>
        <w:ind w:firstLine="0" w:firstLineChars="0"/>
        <w:jc w:val="center"/>
        <w:rPr>
          <w:color w:val="000000"/>
        </w:rPr>
      </w:pPr>
    </w:p>
    <w:p w14:paraId="1FC1479A">
      <w:pPr>
        <w:ind w:firstLine="198" w:firstLineChars="55"/>
        <w:rPr>
          <w:rFonts w:eastAsia="黑体"/>
          <w:sz w:val="32"/>
          <w:u w:val="single"/>
        </w:rPr>
      </w:pPr>
      <w:r>
        <w:rPr>
          <w:rFonts w:hint="eastAsia" w:eastAsia="黑体"/>
          <w:sz w:val="36"/>
        </w:rPr>
        <w:t>实验题目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</w:rPr>
        <w:t xml:space="preserve">          </w:t>
      </w:r>
      <w:r>
        <w:rPr>
          <w:rFonts w:hint="eastAsia" w:eastAsia="黑体"/>
          <w:sz w:val="32"/>
          <w:u w:val="single"/>
          <w:lang w:val="en-US" w:eastAsia="zh-CN"/>
        </w:rPr>
        <w:t>降维与度量学习</w:t>
      </w:r>
      <w:r>
        <w:rPr>
          <w:rFonts w:hint="eastAsia" w:eastAsia="黑体"/>
          <w:sz w:val="32"/>
          <w:u w:val="single"/>
        </w:rPr>
        <w:t xml:space="preserve">实验                    </w:t>
      </w:r>
    </w:p>
    <w:p w14:paraId="54E4A647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62CBD705">
      <w:pPr>
        <w:ind w:firstLine="0" w:firstLineChars="0"/>
        <w:jc w:val="center"/>
        <w:rPr>
          <w:rFonts w:eastAsia="黑体"/>
          <w:color w:val="000000"/>
          <w:spacing w:val="20"/>
          <w:kern w:val="0"/>
          <w:sz w:val="30"/>
          <w:szCs w:val="30"/>
        </w:rPr>
      </w:pPr>
    </w:p>
    <w:p w14:paraId="4104C3DE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学生姓名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王毅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6EDAE873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学生学号</w:t>
      </w:r>
      <w:r>
        <w:rPr>
          <w:rFonts w:hint="eastAsia" w:eastAsia="黑体"/>
          <w:color w:val="000000"/>
          <w:sz w:val="30"/>
          <w:szCs w:val="30"/>
        </w:rPr>
        <w:t>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202463010031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</w:t>
      </w:r>
    </w:p>
    <w:p w14:paraId="5F146495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z w:val="30"/>
          <w:szCs w:val="30"/>
        </w:rPr>
        <w:t>专     业：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</w:t>
      </w:r>
      <w:r>
        <w:rPr>
          <w:rFonts w:hint="eastAsia" w:eastAsia="黑体"/>
          <w:color w:val="000000"/>
          <w:sz w:val="30"/>
          <w:szCs w:val="30"/>
          <w:u w:val="single"/>
          <w:lang w:val="en-US" w:eastAsia="zh-CN"/>
        </w:rPr>
        <w:t>医学信息工程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 </w:t>
      </w:r>
    </w:p>
    <w:p w14:paraId="2C639C0B">
      <w:pPr>
        <w:ind w:left="2100" w:leftChars="875" w:firstLine="174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学     院：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人工智能学院      </w:t>
      </w:r>
    </w:p>
    <w:p w14:paraId="04662BC4">
      <w:pPr>
        <w:ind w:left="2100" w:leftChars="875" w:firstLine="197" w:firstLineChars="58"/>
        <w:rPr>
          <w:rFonts w:eastAsia="黑体"/>
          <w:color w:val="000000"/>
          <w:position w:val="-6"/>
          <w:sz w:val="30"/>
          <w:szCs w:val="30"/>
          <w:u w:val="single"/>
        </w:rPr>
      </w:pPr>
      <w:r>
        <w:rPr>
          <w:rFonts w:hint="eastAsia" w:eastAsia="黑体"/>
          <w:color w:val="000000"/>
          <w:spacing w:val="20"/>
          <w:kern w:val="0"/>
          <w:sz w:val="30"/>
          <w:szCs w:val="30"/>
        </w:rPr>
        <w:t>任课教师：</w:t>
      </w:r>
      <w:r>
        <w:rPr>
          <w:rFonts w:hint="eastAsia" w:eastAsia="黑体"/>
          <w:color w:val="000000"/>
          <w:sz w:val="30"/>
          <w:szCs w:val="30"/>
          <w:u w:val="single"/>
        </w:rPr>
        <w:t xml:space="preserve">     张红春/罗月梅     </w:t>
      </w:r>
    </w:p>
    <w:p w14:paraId="5EA9A28B">
      <w:pPr>
        <w:ind w:firstLine="612"/>
        <w:rPr>
          <w:b/>
          <w:color w:val="000000"/>
          <w:sz w:val="30"/>
          <w:szCs w:val="30"/>
        </w:rPr>
      </w:pPr>
    </w:p>
    <w:p w14:paraId="2CCD8C02">
      <w:pPr>
        <w:ind w:firstLine="0" w:firstLineChars="0"/>
        <w:jc w:val="center"/>
        <w:rPr>
          <w:spacing w:val="20"/>
          <w:sz w:val="36"/>
          <w:szCs w:val="36"/>
        </w:rPr>
      </w:pPr>
      <w:r>
        <w:rPr>
          <w:rFonts w:hint="eastAsia"/>
          <w:spacing w:val="20"/>
          <w:sz w:val="36"/>
          <w:szCs w:val="36"/>
        </w:rPr>
        <w:t>二○二</w:t>
      </w:r>
      <w:r>
        <w:rPr>
          <w:rFonts w:hint="eastAsia"/>
          <w:spacing w:val="20"/>
          <w:sz w:val="36"/>
          <w:szCs w:val="36"/>
          <w:lang w:val="en-US" w:eastAsia="zh-CN"/>
        </w:rPr>
        <w:t>六</w:t>
      </w:r>
      <w:r>
        <w:rPr>
          <w:rFonts w:hint="eastAsia"/>
          <w:spacing w:val="20"/>
          <w:sz w:val="36"/>
          <w:szCs w:val="36"/>
        </w:rPr>
        <w:t xml:space="preserve"> 年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六 </w:t>
      </w:r>
      <w:r>
        <w:rPr>
          <w:rFonts w:hint="eastAsia"/>
          <w:spacing w:val="20"/>
          <w:sz w:val="36"/>
          <w:szCs w:val="36"/>
        </w:rPr>
        <w:t xml:space="preserve">月 </w:t>
      </w:r>
      <w:r>
        <w:rPr>
          <w:rFonts w:hint="eastAsia"/>
          <w:spacing w:val="20"/>
          <w:sz w:val="36"/>
          <w:szCs w:val="36"/>
          <w:lang w:val="en-US" w:eastAsia="zh-CN"/>
        </w:rPr>
        <w:t xml:space="preserve">十五 </w:t>
      </w:r>
      <w:r>
        <w:rPr>
          <w:rFonts w:hint="eastAsia"/>
          <w:spacing w:val="20"/>
          <w:sz w:val="36"/>
          <w:szCs w:val="36"/>
        </w:rPr>
        <w:t>日</w:t>
      </w:r>
    </w:p>
    <w:p w14:paraId="6480F693">
      <w:pPr>
        <w:ind w:firstLine="480"/>
      </w:pPr>
    </w:p>
    <w:p w14:paraId="22734434">
      <w:pPr>
        <w:ind w:firstLine="653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</w:t>
      </w:r>
    </w:p>
    <w:p w14:paraId="5164FDD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掌握k近邻（KNN）分类器的基本原理和实现方法，理解"近朱者赤，近墨者黑"的分类思想。</w:t>
      </w:r>
    </w:p>
    <w:p w14:paraId="4377335E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通过可视化分类边界，直观理解k值对模型复杂度和泛化能力的影响。</w:t>
      </w:r>
    </w:p>
    <w:p w14:paraId="71005D1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掌握主成分分析（PCA）的数学原理和降维流程，理解特征值分解在数据降维中的作用。</w:t>
      </w:r>
    </w:p>
    <w:p w14:paraId="70846FFD">
      <w:pPr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通过对Iris数据集进行PCA降维，观察降维后数据的可分类性和各主成分的方差解释能力。</w:t>
      </w:r>
    </w:p>
    <w:p w14:paraId="23C9230A">
      <w:pPr>
        <w:ind w:firstLine="653"/>
        <w:rPr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二 实验环境</w:t>
      </w:r>
    </w:p>
    <w:p w14:paraId="4130BAFF">
      <w:pPr>
        <w:numPr>
          <w:ilvl w:val="0"/>
          <w:numId w:val="1"/>
        </w:num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Anaconda: 一个免费且开源的Python和R语言发行版，专注于简化包管理和部署。Anaconda使用Conda作为软件包管理系统来管理各种包</w:t>
      </w:r>
      <w:r>
        <w:rPr>
          <w:rFonts w:hint="eastAsia"/>
          <w:sz w:val="30"/>
          <w:szCs w:val="30"/>
          <w:lang w:eastAsia="zh-CN"/>
        </w:rPr>
        <w:t>。</w:t>
      </w:r>
    </w:p>
    <w:p w14:paraId="6E4A787E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2) Jupyter Notebook: 一种支持运行超过40种编程语言的交互式笔记本。它可以轻松创建和分享带有实时代码、数学公式、可视化和Markdown的文学编程文档。其用途包括：数据清理和转换、数值模拟、统计建模、机器学习等。</w:t>
      </w:r>
    </w:p>
    <w:p w14:paraId="49DEB8C8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3）Numpy：Python中用于科学计算的核心库之一，主要用于处理多维数组和矩阵运算。提供了高效的多维数组对象支持快速的数值计算。包含大量的数学函数，支持线性代数、傅里叶变换、随机数生成等操作。底层用C语言实现，运行速度快，适合处理大规模数据。主要用途:数值计算。作为其他科学计算库（如Pandas、Scipy）的基础。</w:t>
      </w:r>
    </w:p>
    <w:p w14:paraId="0893D2B4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4）Pandas：一个强大的数据处理和分析库，专门用于处理结构化数据（如表格数据）。提供了两种核心数据结构：Series（一维数据）和 DataFrame（二维表格数据）。支持数据清洗、数据对齐、缺失值处理、数据合并、分组聚合等操作。可以轻松处理时间序列数据。主要用途:数据清洗和预处理。数据分析和探索性数据分析（EDA）。数据读取和写入（支持CSV、Excel、SQL等多种格式）。</w:t>
      </w:r>
    </w:p>
    <w:p w14:paraId="683C6291">
      <w:pPr>
        <w:ind w:firstLine="600"/>
        <w:rPr>
          <w:szCs w:val="21"/>
        </w:rPr>
      </w:pPr>
      <w:r>
        <w:rPr>
          <w:rFonts w:hint="eastAsia"/>
          <w:sz w:val="30"/>
          <w:szCs w:val="30"/>
        </w:rPr>
        <w:t>5）Matplotlib：Python中最常用的数据可视化库，用于创建各种静态、动态和交互式图表。提供了类似于MATLAB的绘图支持多种图表类型，如折线图、散点图、柱状图、饼图、热力图等。可以高度自定义图表样式（如颜色、标签、标题等）。主要用途:数据可视化，帮助直观理解数据分布和趋势。生成高质量的图表用于报告或出版物。与其他库（如Pandas、Seaborn）结合使用，进行更高级的可视化。</w:t>
      </w:r>
    </w:p>
    <w:p w14:paraId="2049093F">
      <w:pPr>
        <w:ind w:firstLine="653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2"/>
          <w:szCs w:val="32"/>
        </w:rPr>
        <w:t>三 实验原理</w:t>
      </w:r>
      <w:r>
        <w:rPr>
          <w:rFonts w:hint="eastAsia"/>
          <w:b/>
          <w:bCs/>
          <w:sz w:val="30"/>
          <w:szCs w:val="30"/>
        </w:rPr>
        <w:t xml:space="preserve">  </w:t>
      </w:r>
    </w:p>
    <w:p w14:paraId="0B84A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 K近邻分类器（KNN）</w:t>
      </w:r>
    </w:p>
    <w:p w14:paraId="42BE7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KNN是一种惰性学习的分类算法，其核心思想是：对于一个待分类样本，在训练集中找出与其距离最近的k个样本，通过多数投票决定其类别。算法无需显式训练过程，所有计算都在预测时进行。</w:t>
      </w:r>
    </w:p>
    <w:p w14:paraId="050A9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（1）距离计算：计算待预测样本与所有训练样本的欧氏距离。</w:t>
      </w:r>
    </w:p>
    <w:p w14:paraId="0D8BB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（2）近邻选择：对距离排序，选取前k个最近邻样本。</w:t>
      </w:r>
    </w:p>
    <w:p w14:paraId="6758B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（3）投票决策：统计k个近邻中各类别的出现次数，选择最多的类别作为预测结果。</w:t>
      </w:r>
    </w:p>
    <w:p w14:paraId="6BDC0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k值的影响：k=1时模型复杂，易过拟合；k增大时分类边界更平滑，但过大可能导致欠拟合。</w:t>
      </w:r>
    </w:p>
    <w:p w14:paraId="2D2B5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 主成分分析（PCA）</w:t>
      </w:r>
    </w:p>
    <w:p w14:paraId="760DC1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PCA是一种无监督线性降维方法，通过正交变换将原始高维数据投影到低维空间，同时最大化保留数据的方差信息。</w:t>
      </w:r>
    </w:p>
    <w:p w14:paraId="4F117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（1）数据中心化：计算每个特征的均值，将数据平移使均值为零。</w:t>
      </w:r>
    </w:p>
    <w:p w14:paraId="40BC2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（2）计算协方差矩阵：cov = X^T·X / (n-1)，反映特征之间的线性相关性。</w:t>
      </w:r>
    </w:p>
    <w:p w14:paraId="4D577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（3）特征值分解：对协方差矩阵进行特征分解，得到特征值和特征向量。</w:t>
      </w:r>
    </w:p>
    <w:p w14:paraId="2894E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（4）选择主成分：按特征值从大到小排序，选择前d个特征向量作为投影矩阵。</w:t>
      </w:r>
    </w:p>
    <w:p w14:paraId="5D2CE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（5）降维投影：将原始数据乘以投影矩阵，得到降维后的数据。</w:t>
      </w:r>
    </w:p>
    <w:p w14:paraId="674B56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方差贡献率：每个主成分的特征值占总特征值之和的比例，反映该主成分保留的原始信息量。</w:t>
      </w:r>
    </w:p>
    <w:p w14:paraId="503A90CD">
      <w:pPr>
        <w:ind w:firstLine="612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 实验步骤</w:t>
      </w:r>
    </w:p>
    <w:p w14:paraId="7A711C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200" w:right="0" w:rightChars="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KNN实验步骤</w:t>
      </w:r>
    </w:p>
    <w:p w14:paraId="58063C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步骤1：实现KNN分类器函数，包括距离计算、近邻选取、多数投票三个核心模块。</w:t>
      </w:r>
    </w:p>
    <w:p w14:paraId="5837A8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步骤2：生成半月形（make_moons）二分类数据集（200样本，噪声0.2），按8:2划分训练集和测试集。</w:t>
      </w:r>
    </w:p>
    <w:p w14:paraId="70D368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步骤3：分别取k=1, 3, 5, 7, 9，对测试集进行分类，计算准确率。</w:t>
      </w:r>
    </w:p>
    <w:p w14:paraId="60E702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步骤4：创建网格点覆盖整个数据空间，对每个网格点进行分类，绘制分类边界。</w:t>
      </w:r>
    </w:p>
    <w:p w14:paraId="235DE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步骤5：在子图中同时展示分类边界（背景色）和测试样本散点图，标注准确率。</w:t>
      </w:r>
    </w:p>
    <w:p w14:paraId="41757F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200" w:right="0" w:rightChars="0"/>
        <w:jc w:val="left"/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  <w:t>实验代码：</w:t>
      </w:r>
    </w:p>
    <w:p w14:paraId="41C17B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</w:p>
    <w:p w14:paraId="7656902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</w:p>
    <w:p w14:paraId="6874237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make_moons</w:t>
      </w:r>
    </w:p>
    <w:p w14:paraId="7492C5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train_test_split</w:t>
      </w:r>
    </w:p>
    <w:p w14:paraId="530E75B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定义k近邻分类器函数</w:t>
      </w:r>
    </w:p>
    <w:p w14:paraId="6E631F1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knn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6ADB68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初始化预测标签向量，长度等于待预测样本数</w:t>
      </w:r>
    </w:p>
    <w:p w14:paraId="55F9B93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5387DC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遍历每个待预测样本，逐一进行分类</w:t>
      </w:r>
    </w:p>
    <w:p w14:paraId="6B81C3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]):</w:t>
      </w:r>
    </w:p>
    <w:p w14:paraId="3CE7536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计算当前待预测样本到所有训练样本的欧氏距离</w:t>
      </w:r>
    </w:p>
    <w:p w14:paraId="7559ED4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05629D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对距离排序，取前k个最近邻样本的索引</w:t>
      </w:r>
    </w:p>
    <w:p w14:paraId="58B8A1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argsort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C579A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统计k个近邻中每个类别出现的次数</w:t>
      </w:r>
    </w:p>
    <w:p w14:paraId="0E01BC9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bincount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252295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选择出现次数最多的类别作为当前样本的预测标签（多数投票）</w:t>
      </w:r>
    </w:p>
    <w:p w14:paraId="2A10F4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33B333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返回预测标签向量</w:t>
      </w:r>
    </w:p>
    <w:p w14:paraId="7DD377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</w:t>
      </w:r>
    </w:p>
    <w:p w14:paraId="0DA394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生成二分类数据集（半月形数据，含噪声）</w:t>
      </w:r>
    </w:p>
    <w:p w14:paraId="29C4A89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make_moons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n_samples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noise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B18CE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划分训练集和测试集，按8:2比例</w:t>
      </w:r>
    </w:p>
    <w:p w14:paraId="7D4B885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5CCE7A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定义不同的k值列表，用于比较不同k对分类结果的影响</w:t>
      </w:r>
    </w:p>
    <w:p w14:paraId="77CC7BC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k_list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5FE190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定义画布大小和子图布局</w:t>
      </w:r>
    </w:p>
    <w:p w14:paraId="1367A2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662FC6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subplots_adjust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C9082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遍历不同的k值，画出每个k对应的分类边界和测试集散点图</w:t>
      </w:r>
    </w:p>
    <w:p w14:paraId="2BA18E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k_list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)):</w:t>
      </w:r>
    </w:p>
    <w:p w14:paraId="4DB9DA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调用k近邻分类器函数，对测试集进行分类，并计算分类准确率</w:t>
      </w:r>
    </w:p>
    <w:p w14:paraId="28B8CFF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k_list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CA3E8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knn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FE6B1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pred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45600FC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定义网格点，用于画出分类边界（在整个数据范围内创建均匀网格）</w:t>
      </w:r>
    </w:p>
    <w:p w14:paraId="43507FF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</w:p>
    <w:p w14:paraId="01C5660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</w:p>
    <w:p w14:paraId="065D60D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y_min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y_max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43EACE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对网格上的每个点进行分类，得到分类边界</w:t>
      </w:r>
    </w:p>
    <w:p w14:paraId="2D49D8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knn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c_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()],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1699E1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在子图中画出分类边界（背景色）和测试样本的散点图，并显示k值和准确率</w:t>
      </w:r>
    </w:p>
    <w:p w14:paraId="2F00007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D12A3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contourf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zz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.Spectral)</w:t>
      </w:r>
    </w:p>
    <w:p w14:paraId="0193C2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edgecolors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0738A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"k =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183669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"Accuracy =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horizontalalignment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verticalalignment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'center'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E3D4B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显示所有子图</w:t>
      </w:r>
    </w:p>
    <w:p w14:paraId="077F3C3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6C3937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200" w:right="0" w:rightChars="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PCA实验步骤</w:t>
      </w:r>
    </w:p>
    <w:p w14:paraId="0B5BB2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步骤1：实现PCA函数，包含数据中心化、协方差计算、特征分解、投影矩阵构建等步骤。</w:t>
      </w:r>
    </w:p>
    <w:p w14:paraId="16C949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步骤2：加载Iris数据集（150样本，4特征，3类），取d=2进行降维。</w:t>
      </w:r>
    </w:p>
    <w:p w14:paraId="0E95AE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步骤3：绘制降维后的二维散点图，用颜色区分三个类别。</w:t>
      </w:r>
    </w:p>
    <w:p w14:paraId="17303A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步骤4：计算并输出各主成分的方差贡献率和累计贡献率。</w:t>
      </w:r>
    </w:p>
    <w:p w14:paraId="7E6656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200" w:right="0" w:rightChars="0"/>
        <w:jc w:val="left"/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cs="Times New Roman"/>
          <w:i/>
          <w:iCs/>
          <w:color w:val="auto"/>
          <w:kern w:val="2"/>
          <w:sz w:val="30"/>
          <w:szCs w:val="30"/>
          <w:lang w:val="en-US" w:eastAsia="zh-CN" w:bidi="ar-SA"/>
        </w:rPr>
        <w:t>实验代码：</w:t>
      </w:r>
    </w:p>
    <w:p w14:paraId="5E1EEB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</w:p>
    <w:p w14:paraId="45F210C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</w:p>
    <w:p w14:paraId="1A12CF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datasets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load_iris</w:t>
      </w:r>
    </w:p>
    <w:p w14:paraId="689AE35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定义主成分分析函数</w:t>
      </w:r>
    </w:p>
    <w:p w14:paraId="3E63188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):</w:t>
      </w:r>
    </w:p>
    <w:p w14:paraId="4026F9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计算数据矩阵的均值向量和协方差矩阵（中心化后求协方差）</w:t>
      </w:r>
    </w:p>
    <w:p w14:paraId="5F6FB3B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94290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.T)</w:t>
      </w:r>
    </w:p>
    <w:p w14:paraId="7A3737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计算协方差矩阵的特征值和特征向量，并按特征值降序排列</w:t>
      </w:r>
    </w:p>
    <w:p w14:paraId="0491AA1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eig_vec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eig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B69492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argsort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)[::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4D64735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4ECCA4E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eig_vec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eig_vec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47ABA4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取前d个最大的特征值对应的特征向量作为投影矩阵（主成分）</w:t>
      </w:r>
    </w:p>
    <w:p w14:paraId="3CD4B49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eig_vec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[:, :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2A178E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将原始数据矩阵投影到低维空间，得到降维后的数据矩阵</w:t>
      </w:r>
    </w:p>
    <w:p w14:paraId="368D16C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.dot(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3FAECF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返回降维后的数据矩阵和特征向量矩阵</w:t>
      </w:r>
    </w:p>
    <w:p w14:paraId="18EE17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W</w:t>
      </w:r>
    </w:p>
    <w:p w14:paraId="10D97E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加载鸢尾花数据集（150个样本，4个特征，3个类别）</w:t>
      </w:r>
    </w:p>
    <w:p w14:paraId="21CD14E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load_iris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return_X_y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76286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调用主成分分析函数，取d=2将4维数据降到2维</w:t>
      </w:r>
    </w:p>
    <w:p w14:paraId="3E714C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</w:p>
    <w:p w14:paraId="0975090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pca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4CAEE6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画出降维后的数据点和原始标签的散点图，观察降维后的数据分布</w:t>
      </w:r>
    </w:p>
    <w:p w14:paraId="67F0D6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edgecolors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AF187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'PC1'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DA86D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'PC2'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480E9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'PCA of Iris Dataset'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466B24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()</w:t>
      </w:r>
    </w:p>
    <w:p w14:paraId="50C2A52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 计算并输出各主成分的方差贡献率（解释方差比）</w:t>
      </w:r>
    </w:p>
    <w:p w14:paraId="7B5E34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cov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14"/>
          <w:szCs w:val="1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62B1A0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eig_vec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eig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cov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BB021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)[::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3EBD468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explained_var_ratio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eig_val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ECF2F3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"各主成分的方差贡献率: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explained_var_ratio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87C88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190" w:lineRule="atLeast"/>
        <w:jc w:val="left"/>
        <w:textAlignment w:val="auto"/>
        <w:rPr>
          <w:rFonts w:hint="eastAsia"/>
          <w:b/>
          <w:bCs/>
          <w:sz w:val="32"/>
          <w:szCs w:val="32"/>
          <w:lang w:eastAsia="zh"/>
          <w:woUserID w:val="1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 xml:space="preserve">"前2个主成分的累计方差贡献率: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14"/>
          <w:szCs w:val="1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14"/>
          <w:szCs w:val="14"/>
          <w:shd w:val="clear" w:fill="FFFFFF"/>
          <w:lang w:val="en-US" w:eastAsia="zh-CN" w:bidi="ar"/>
        </w:rPr>
        <w:t>explained_var_ratio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:.2%}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228D787">
      <w:pPr>
        <w:ind w:left="0" w:leftChars="0" w:firstLine="0" w:firstLineChars="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 实验分析与结果</w:t>
      </w:r>
    </w:p>
    <w:p w14:paraId="1C974C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2" w:firstLineChars="20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b/>
          <w:bCs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1. KNN实验结果分析</w:t>
      </w:r>
    </w:p>
    <w:p w14:paraId="192A0A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通过对比5个不同k值的分类结果，可以得出以下结论：</w:t>
      </w:r>
    </w:p>
    <w:p w14:paraId="141904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k=1时，分类边界非常复杂、弯曲，测试准确率相对较低，模型过拟合，对噪声和异常值敏感。</w:t>
      </w:r>
    </w:p>
    <w:p w14:paraId="1AE5FE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k=3和k=5时，分类边界更加平滑，准确率达到较高水平，模型在拟合能力和泛化能力之间取得平衡。</w:t>
      </w:r>
    </w:p>
    <w:p w14:paraId="360628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k=7和k=9时，分类边界进一步简化，但部分区域的决策过于保守，可能产生欠拟合。</w:t>
      </w:r>
    </w:p>
    <w:p w14:paraId="2FDC68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对于半月形这种非线性可分的数据集，KNN无需显式建模即可捕捉复杂的决策边界。</w:t>
      </w:r>
    </w:p>
    <w:p w14:paraId="584000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drawing>
          <wp:inline distT="0" distB="0" distL="114300" distR="114300">
            <wp:extent cx="4833620" cy="3155950"/>
            <wp:effectExtent l="0" t="0" r="5080" b="635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62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A3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02" w:firstLineChars="200"/>
        <w:jc w:val="left"/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b/>
          <w:bCs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b/>
          <w:bCs/>
          <w:color w:val="auto"/>
          <w:kern w:val="2"/>
          <w:sz w:val="30"/>
          <w:szCs w:val="30"/>
          <w:lang w:val="en-US" w:eastAsia="zh-CN" w:bidi="ar-SA"/>
        </w:rPr>
        <w:t>2. PCA降维结果分析</w:t>
      </w:r>
    </w:p>
    <w:p w14:paraId="2C0CE8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hint="eastAsia" w:ascii="Symbol" w:hAnsi="Symbol" w:eastAsia="宋体" w:cs="Symbol"/>
          <w:color w:val="auto"/>
          <w:kern w:val="2"/>
          <w:sz w:val="20"/>
          <w:szCs w:val="30"/>
          <w:lang w:val="en-US" w:eastAsia="zh-CN" w:bidi="ar-SA"/>
        </w:rPr>
        <w:t>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Iris数据集（4维→2维）的PCA降维分析：</w:t>
      </w:r>
    </w:p>
    <w:p w14:paraId="39D21A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前2个主成分的累计方差贡献率通常超过95%，说明2维已保留了绝大部分原始信息。</w:t>
      </w:r>
    </w:p>
    <w:p w14:paraId="188ECB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从降维后的散点图可以看出，三类鸢尾花在二维空间中仍有较好的可分性。</w:t>
      </w:r>
    </w:p>
    <w:p w14:paraId="6D39F6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setosa（第0类）与其他两类完全分离，线性可分。</w:t>
      </w:r>
    </w:p>
    <w:p w14:paraId="25B156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versicolor（第1类）和virginica（第2类）在边界附近有少量重叠，反映它们本身较为相似。</w:t>
      </w:r>
    </w:p>
    <w:p w14:paraId="591CA6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PCA作为无监督方法，未使用标签信息，但降维结果仍能很好地反映类别结构。</w:t>
      </w:r>
    </w:p>
    <w:p w14:paraId="772540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rPr>
          <w:rFonts w:ascii="宋体" w:hAnsi="宋体" w:eastAsia="宋体"/>
          <w:b w:val="0"/>
          <w:sz w:val="24"/>
        </w:rPr>
        <w:t>·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  <w:t>第一主成分（PC1）承载最多的方差信息，在散点图上对应x轴方向，三类沿此方向有序分布。</w:t>
      </w:r>
    </w:p>
    <w:p w14:paraId="01A2A0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480" w:firstLineChars="200"/>
        <w:jc w:val="left"/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val="en-US" w:eastAsia="zh-CN" w:bidi="ar-SA"/>
        </w:rPr>
      </w:pPr>
      <w:r>
        <w:drawing>
          <wp:inline distT="0" distB="0" distL="114300" distR="114300">
            <wp:extent cx="4176395" cy="3467100"/>
            <wp:effectExtent l="0" t="0" r="1905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EF7D">
      <w:pPr>
        <w:ind w:firstLine="196" w:firstLineChars="6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六  实验感想</w:t>
      </w:r>
    </w:p>
    <w:p w14:paraId="25D85968">
      <w:pPr>
        <w:rPr>
          <w:sz w:val="30"/>
          <w:szCs w:val="30"/>
        </w:rPr>
      </w:pPr>
      <w:bookmarkStart w:id="0" w:name="_GoBack"/>
      <w:r>
        <w:rPr>
          <w:rFonts w:ascii="宋体" w:hAnsi="宋体" w:eastAsia="宋体"/>
          <w:b w:val="0"/>
          <w:sz w:val="30"/>
          <w:szCs w:val="30"/>
        </w:rPr>
        <w:t>通过本次实验，我对KNN分类器和PCA降维有了更深入的理解。KNN部分的实验直观展示了k值对模型性能的关键影响：k太小导致过拟合，k太大导致欠拟合，选择合适的k值需要在偏差和方差之间权衡。通过绘制分类边界，我深刻理解了KNN的非参数特性——它能拟合任意复杂的决策边界而不需要任何训练过程，但这种灵活性是以预测时的计算开销为代价的。</w:t>
      </w:r>
    </w:p>
    <w:p w14:paraId="13F4D31E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PCA部分的实验让我理解了线性降维的数学本质。特征值大小表示数据在对应方向上的方差，特征值越大说明该方向包含的信息越多。通过特征值分解选择最大的d个特征值对应的特征向量作为投影方向，PCA在降维的同时最大化保留了数据的方差（信息量）。Iris数据集的降维实验表明，即使从4维降到2维，PCA仍然保留了足够的类别区分信息，这在实际应用中可以有效减少模型的计算负担和存储需求。</w:t>
      </w:r>
    </w:p>
    <w:p w14:paraId="7BC12530">
      <w:pPr>
        <w:rPr>
          <w:sz w:val="30"/>
          <w:szCs w:val="30"/>
        </w:rPr>
      </w:pPr>
      <w:r>
        <w:rPr>
          <w:rFonts w:ascii="宋体" w:hAnsi="宋体" w:eastAsia="宋体"/>
          <w:b w:val="0"/>
          <w:sz w:val="30"/>
          <w:szCs w:val="30"/>
        </w:rPr>
        <w:t>KNN和PCA虽然是机器学习中最基础的算法之一，但它们的核心思想——"距离度量"和"方差最大化"——贯穿了众多高级算法的设计，是理解更复杂机器学习方法的基石。</w:t>
      </w:r>
    </w:p>
    <w:bookmarkEnd w:id="0"/>
    <w:p w14:paraId="151280BE">
      <w:pPr>
        <w:ind w:firstLine="653"/>
        <w:rPr>
          <w:b/>
          <w:bCs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4236B"/>
    <w:multiLevelType w:val="singleLevel"/>
    <w:tmpl w:val="9DE4236B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OTIxMWVhNjVjM2Q0NDI5NGJmYzRiMWVlZDhjZTIifQ=="/>
    <w:docVar w:name="KSO_WPS_MARK_KEY" w:val="414e2463-d2e2-4d5c-afab-404587c05583"/>
  </w:docVars>
  <w:rsids>
    <w:rsidRoot w:val="0021594F"/>
    <w:rsid w:val="00062400"/>
    <w:rsid w:val="0021594F"/>
    <w:rsid w:val="00270657"/>
    <w:rsid w:val="004F55EC"/>
    <w:rsid w:val="009126F7"/>
    <w:rsid w:val="00D222C1"/>
    <w:rsid w:val="00E605D4"/>
    <w:rsid w:val="0C4E460C"/>
    <w:rsid w:val="1B5179B8"/>
    <w:rsid w:val="2377A6BA"/>
    <w:rsid w:val="2F0A7088"/>
    <w:rsid w:val="38217BC0"/>
    <w:rsid w:val="39751F69"/>
    <w:rsid w:val="3B360F38"/>
    <w:rsid w:val="3C126925"/>
    <w:rsid w:val="3DB5A609"/>
    <w:rsid w:val="3F1F4F6B"/>
    <w:rsid w:val="4C7C657D"/>
    <w:rsid w:val="4FB8672C"/>
    <w:rsid w:val="52136553"/>
    <w:rsid w:val="5D0804C3"/>
    <w:rsid w:val="5EEF47AF"/>
    <w:rsid w:val="6F8E904E"/>
    <w:rsid w:val="7FCFDF04"/>
    <w:rsid w:val="7FE10F72"/>
    <w:rsid w:val="954DB098"/>
    <w:rsid w:val="DBEFE4E2"/>
    <w:rsid w:val="E6FF3D3F"/>
    <w:rsid w:val="EF6F6A82"/>
    <w:rsid w:val="FBEFB8EA"/>
    <w:rsid w:val="FDDF087B"/>
    <w:rsid w:val="FE8F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99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3397</Words>
  <Characters>5172</Characters>
  <Lines>8</Lines>
  <Paragraphs>2</Paragraphs>
  <TotalTime>0</TotalTime>
  <ScaleCrop>false</ScaleCrop>
  <LinksUpToDate>false</LinksUpToDate>
  <CharactersWithSpaces>5647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2025-03-14T00:39:00Z</dcterms:created>
  <dc:creator>t28631</dc:creator>
  <cp:lastModifiedBy>e</cp:lastModifiedBy>
  <dcterms:modified xsi:type="dcterms:W3CDTF">2026-06-05T03:31:21Z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DE9F1A5DCB228F9A1B3FCB696535F8BC_43</vt:lpwstr>
  </property>
  <property fmtid="{D5CDD505-2E9C-101B-9397-08002B2CF9AE}" pid="4" name="KSOTemplateDocerSaveRecord">
    <vt:lpwstr>eyJoZGlkIjoiNzJmOGM0MzMwMjE3NWE2NGM3ZTBiNTZlYzc1Y2E3ZTQiLCJ1c2VySWQiOiI2MDM0OTI3MDYifQ==</vt:lpwstr>
  </property>
</Properties>
</file>