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User Login — Functional / UI Specification</w:t>
      </w:r>
    </w:p>
    <w:p>
      <w:r>
        <w:t>LOG-01  |  Design approved; specification for review  |  v1.0  |  27 October 2026</w:t>
      </w:r>
    </w:p>
    <w:p>
      <w:r>
        <w:t>Scope: Entry authentication for Coach and Admin accounts. Account creation, initialization, role administration and backend management are separate workflows.</w:t>
      </w:r>
    </w:p>
    <w:p>
      <w:pPr>
        <w:pStyle w:val="Heading1"/>
      </w:pPr>
      <w:r>
        <w:t>1. Source and approval boundary</w:t>
      </w:r>
    </w:p>
    <w:p>
      <w:r>
        <w:t>Source: “WorkFlow Stage 2”, section 5 “User Log In”, pages 11–12 (continuation on p.12). The approved discussion replaces its requested Admin/Coach selector with automatic role determination from the authenticated account. The document’s example account credentials are deliberately excluded from this specification.</w:t>
      </w:r>
    </w:p>
    <w:p>
      <w:pPr>
        <w:pStyle w:val="Heading1"/>
      </w:pPr>
      <w:r>
        <w:t>2. Functional requirements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</w:tcPr>
          <w:p>
            <w:r>
              <w:t>ID</w:t>
            </w:r>
          </w:p>
        </w:tc>
        <w:tc>
          <w:tcPr>
            <w:tcW w:type="dxa" w:w="3293"/>
          </w:tcPr>
          <w:p>
            <w:r>
              <w:t>Requirement / behavior</w:t>
            </w:r>
          </w:p>
        </w:tc>
        <w:tc>
          <w:tcPr>
            <w:tcW w:type="dxa" w:w="3293"/>
          </w:tcPr>
          <w:p>
            <w:r>
              <w:t>Status</w:t>
            </w:r>
          </w:p>
        </w:tc>
      </w:tr>
      <w:tr>
        <w:tc>
          <w:tcPr>
            <w:tcW w:type="dxa" w:w="3293"/>
            <w:vAlign w:val="center"/>
          </w:tcPr>
          <w:p>
            <w:r>
              <w:t>LOG-01</w:t>
            </w:r>
          </w:p>
        </w:tc>
        <w:tc>
          <w:tcPr>
            <w:tcW w:type="dxa" w:w="3293"/>
            <w:vAlign w:val="center"/>
          </w:tcPr>
          <w:p>
            <w:r>
              <w:t>Username or email + password; no role selector on login form.</w:t>
            </w:r>
          </w:p>
        </w:tc>
        <w:tc>
          <w:tcPr>
            <w:tcW w:type="dxa" w:w="3293"/>
            <w:vAlign w:val="center"/>
          </w:tcPr>
          <w:p>
            <w:r>
              <w:t>Approved</w:t>
            </w:r>
          </w:p>
        </w:tc>
      </w:tr>
      <w:tr>
        <w:tc>
          <w:tcPr>
            <w:tcW w:type="dxa" w:w="3293"/>
            <w:vAlign w:val="center"/>
          </w:tcPr>
          <w:p>
            <w:r>
              <w:t>LOG-02</w:t>
            </w:r>
          </w:p>
        </w:tc>
        <w:tc>
          <w:tcPr>
            <w:tcW w:type="dxa" w:w="3293"/>
            <w:vAlign w:val="center"/>
          </w:tcPr>
          <w:p>
            <w:r>
              <w:t>Credentials identify account; system reads assigned Coach/Admin role. User cannot self-select privileges.</w:t>
            </w:r>
          </w:p>
        </w:tc>
        <w:tc>
          <w:tcPr>
            <w:tcW w:type="dxa" w:w="3293"/>
            <w:vAlign w:val="center"/>
          </w:tcPr>
          <w:p>
            <w:r>
              <w:t>Approved</w:t>
            </w:r>
          </w:p>
        </w:tc>
      </w:tr>
      <w:tr>
        <w:tc>
          <w:tcPr>
            <w:tcW w:type="dxa" w:w="3293"/>
            <w:vAlign w:val="center"/>
          </w:tcPr>
          <w:p>
            <w:r>
              <w:t>LOG-03</w:t>
            </w:r>
          </w:p>
        </w:tc>
        <w:tc>
          <w:tcPr>
            <w:tcW w:type="dxa" w:w="3293"/>
            <w:vAlign w:val="center"/>
          </w:tcPr>
          <w:p>
            <w:r>
              <w:t>Successful authentication navigates to the shared Home Page.</w:t>
            </w:r>
          </w:p>
        </w:tc>
        <w:tc>
          <w:tcPr>
            <w:tcW w:type="dxa" w:w="3293"/>
            <w:vAlign w:val="center"/>
          </w:tcPr>
          <w:p>
            <w:r>
              <w:t>Approved</w:t>
            </w:r>
          </w:p>
        </w:tc>
      </w:tr>
      <w:tr>
        <w:tc>
          <w:tcPr>
            <w:tcW w:type="dxa" w:w="3293"/>
            <w:vAlign w:val="center"/>
          </w:tcPr>
          <w:p>
            <w:r>
              <w:t>LOG-04</w:t>
            </w:r>
          </w:p>
        </w:tc>
        <w:tc>
          <w:tcPr>
            <w:tcW w:type="dxa" w:w="3293"/>
            <w:vAlign w:val="center"/>
          </w:tcPr>
          <w:p>
            <w:r>
              <w:t>Invalid credentials: show a non-revealing error; remain on Login page.</w:t>
            </w:r>
          </w:p>
        </w:tc>
        <w:tc>
          <w:tcPr>
            <w:tcW w:type="dxa" w:w="3293"/>
            <w:vAlign w:val="center"/>
          </w:tcPr>
          <w:p>
            <w:r>
              <w:t>From workflow</w:t>
            </w:r>
          </w:p>
        </w:tc>
      </w:tr>
      <w:tr>
        <w:tc>
          <w:tcPr>
            <w:tcW w:type="dxa" w:w="3293"/>
            <w:vAlign w:val="center"/>
          </w:tcPr>
          <w:p>
            <w:r>
              <w:t>LOG-05</w:t>
            </w:r>
          </w:p>
        </w:tc>
        <w:tc>
          <w:tcPr>
            <w:tcW w:type="dxa" w:w="3293"/>
            <w:vAlign w:val="center"/>
          </w:tcPr>
          <w:p>
            <w:r>
              <w:t>Keep me signed in is enabled by default; returning users with valid sessions skip login.</w:t>
            </w:r>
          </w:p>
        </w:tc>
        <w:tc>
          <w:tcPr>
            <w:tcW w:type="dxa" w:w="3293"/>
            <w:vAlign w:val="center"/>
          </w:tcPr>
          <w:p>
            <w:r>
              <w:t>Approved</w:t>
            </w:r>
          </w:p>
        </w:tc>
      </w:tr>
      <w:tr>
        <w:tc>
          <w:tcPr>
            <w:tcW w:type="dxa" w:w="3293"/>
            <w:vAlign w:val="center"/>
          </w:tcPr>
          <w:p>
            <w:r>
              <w:t>LOG-06</w:t>
            </w:r>
          </w:p>
        </w:tc>
        <w:tc>
          <w:tcPr>
            <w:tcW w:type="dxa" w:w="3293"/>
            <w:vAlign w:val="center"/>
          </w:tcPr>
          <w:p>
            <w:r>
              <w:t>Coach: all approved coaching workflows, excluding user account and backend data administration.</w:t>
            </w:r>
          </w:p>
        </w:tc>
        <w:tc>
          <w:tcPr>
            <w:tcW w:type="dxa" w:w="3293"/>
            <w:vAlign w:val="center"/>
          </w:tcPr>
          <w:p>
            <w:r>
              <w:t>Approved</w:t>
            </w:r>
          </w:p>
        </w:tc>
      </w:tr>
      <w:tr>
        <w:tc>
          <w:tcPr>
            <w:tcW w:type="dxa" w:w="3293"/>
            <w:vAlign w:val="center"/>
          </w:tcPr>
          <w:p>
            <w:r>
              <w:t>LOG-07</w:t>
            </w:r>
          </w:p>
        </w:tc>
        <w:tc>
          <w:tcPr>
            <w:tcW w:type="dxa" w:w="3293"/>
            <w:vAlign w:val="center"/>
          </w:tcPr>
          <w:p>
            <w:r>
              <w:t>Admin: coaching functions plus account/backend administration, subject to server-enforced permissions.</w:t>
            </w:r>
          </w:p>
        </w:tc>
        <w:tc>
          <w:tcPr>
            <w:tcW w:type="dxa" w:w="3293"/>
            <w:vAlign w:val="center"/>
          </w:tcPr>
          <w:p>
            <w:r>
              <w:t>Approved</w:t>
            </w:r>
          </w:p>
        </w:tc>
      </w:tr>
      <w:tr>
        <w:tc>
          <w:tcPr>
            <w:tcW w:type="dxa" w:w="3293"/>
            <w:vAlign w:val="center"/>
          </w:tcPr>
          <w:p>
            <w:r>
              <w:t>LOG-08</w:t>
            </w:r>
          </w:p>
        </w:tc>
        <w:tc>
          <w:tcPr>
            <w:tcW w:type="dxa" w:w="3293"/>
            <w:vAlign w:val="center"/>
          </w:tcPr>
          <w:p>
            <w:r>
              <w:t>Separate Account Initialization and Management workflow.</w:t>
            </w:r>
          </w:p>
        </w:tc>
        <w:tc>
          <w:tcPr>
            <w:tcW w:type="dxa" w:w="3293"/>
            <w:vAlign w:val="center"/>
          </w:tcPr>
          <w:p>
            <w:r>
              <w:t>Approved scope</w:t>
            </w:r>
          </w:p>
        </w:tc>
      </w:tr>
    </w:tbl>
    <w:p>
      <w:pPr>
        <w:pStyle w:val="Heading1"/>
      </w:pPr>
      <w:r>
        <w:t>3. Login UI</w:t>
      </w:r>
    </w:p>
    <w:p>
      <w:pPr>
        <w:pStyle w:val="ListBullet"/>
      </w:pPr>
      <w:r>
        <w:t>EchoCoach branding, “Welcome Back” heading, username/email field, password field with Show/Hide option.</w:t>
      </w:r>
    </w:p>
    <w:p>
      <w:pPr>
        <w:pStyle w:val="ListBullet"/>
      </w:pPr>
      <w:r>
        <w:t>Keep me signed in checkbox (checked by default); primary Log In action; Forgot password entry point.</w:t>
      </w:r>
    </w:p>
    <w:p>
      <w:pPr>
        <w:pStyle w:val="ListBullet"/>
      </w:pPr>
      <w:r>
        <w:t>No Admin/Coach switch, no class or student content, no sport choice on this page.</w:t>
      </w:r>
    </w:p>
    <w:p>
      <w:pPr>
        <w:pStyle w:val="ListBullet"/>
      </w:pPr>
      <w:r>
        <w:t>The approved PNG displays Tennis artwork as a visual example. Authentication itself must be sport-independent; final branding treatment can be shared/generic.</w:t>
      </w:r>
    </w:p>
    <w:p>
      <w:pPr>
        <w:pStyle w:val="Heading1"/>
      </w:pPr>
      <w:r>
        <w:t>4. Navigation and error states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</w:tcPr>
          <w:p>
            <w:r>
              <w:t>Case</w:t>
            </w:r>
          </w:p>
        </w:tc>
        <w:tc>
          <w:tcPr>
            <w:tcW w:type="dxa" w:w="4939"/>
          </w:tcPr>
          <w:p>
            <w:r>
              <w:t>Expected outcome</w:t>
            </w:r>
          </w:p>
        </w:tc>
      </w:tr>
      <w:tr>
        <w:tc>
          <w:tcPr>
            <w:tcW w:type="dxa" w:w="4939"/>
            <w:vAlign w:val="center"/>
          </w:tcPr>
          <w:p>
            <w:r>
              <w:t>Valid existing session</w:t>
            </w:r>
          </w:p>
        </w:tc>
        <w:tc>
          <w:tcPr>
            <w:tcW w:type="dxa" w:w="4939"/>
            <w:vAlign w:val="center"/>
          </w:tcPr>
          <w:p>
            <w:r>
              <w:t>Open shared Home without asking for credentials again.</w:t>
            </w:r>
          </w:p>
        </w:tc>
      </w:tr>
      <w:tr>
        <w:tc>
          <w:tcPr>
            <w:tcW w:type="dxa" w:w="4939"/>
            <w:vAlign w:val="center"/>
          </w:tcPr>
          <w:p>
            <w:r>
              <w:t>No session / expired session</w:t>
            </w:r>
          </w:p>
        </w:tc>
        <w:tc>
          <w:tcPr>
            <w:tcW w:type="dxa" w:w="4939"/>
            <w:vAlign w:val="center"/>
          </w:tcPr>
          <w:p>
            <w:r>
              <w:t>Open Login.</w:t>
            </w:r>
          </w:p>
        </w:tc>
      </w:tr>
      <w:tr>
        <w:tc>
          <w:tcPr>
            <w:tcW w:type="dxa" w:w="4939"/>
            <w:vAlign w:val="center"/>
          </w:tcPr>
          <w:p>
            <w:r>
              <w:t>Valid login</w:t>
            </w:r>
          </w:p>
        </w:tc>
        <w:tc>
          <w:tcPr>
            <w:tcW w:type="dxa" w:w="4939"/>
            <w:vAlign w:val="center"/>
          </w:tcPr>
          <w:p>
            <w:r>
              <w:t>Establish secure session and open Home; privileges reflect account role.</w:t>
            </w:r>
          </w:p>
        </w:tc>
      </w:tr>
      <w:tr>
        <w:tc>
          <w:tcPr>
            <w:tcW w:type="dxa" w:w="4939"/>
            <w:vAlign w:val="center"/>
          </w:tcPr>
          <w:p>
            <w:r>
              <w:t>Incorrect credentials</w:t>
            </w:r>
          </w:p>
        </w:tc>
        <w:tc>
          <w:tcPr>
            <w:tcW w:type="dxa" w:w="4939"/>
            <w:vAlign w:val="center"/>
          </w:tcPr>
          <w:p>
            <w:r>
              <w:t>Stay on Login; show generic authentication failure without disclosing whether account exists.</w:t>
            </w:r>
          </w:p>
        </w:tc>
      </w:tr>
      <w:tr>
        <w:tc>
          <w:tcPr>
            <w:tcW w:type="dxa" w:w="4939"/>
            <w:vAlign w:val="center"/>
          </w:tcPr>
          <w:p>
            <w:r>
              <w:t>Network/service error</w:t>
            </w:r>
          </w:p>
        </w:tc>
        <w:tc>
          <w:tcPr>
            <w:tcW w:type="dxa" w:w="4939"/>
            <w:vAlign w:val="center"/>
          </w:tcPr>
          <w:p>
            <w:r>
              <w:t>Stay on Login; show retryable service error, distinct from invalid credentials.</w:t>
            </w:r>
          </w:p>
        </w:tc>
      </w:tr>
      <w:tr>
        <w:tc>
          <w:tcPr>
            <w:tcW w:type="dxa" w:w="4939"/>
            <w:vAlign w:val="center"/>
          </w:tcPr>
          <w:p>
            <w:r>
              <w:t>Logout</w:t>
            </w:r>
          </w:p>
        </w:tc>
        <w:tc>
          <w:tcPr>
            <w:tcW w:type="dxa" w:w="4939"/>
            <w:vAlign w:val="center"/>
          </w:tcPr>
          <w:p>
            <w:r>
              <w:t>End session and return to Login.</w:t>
            </w:r>
          </w:p>
        </w:tc>
      </w:tr>
    </w:tbl>
    <w:p>
      <w:pPr>
        <w:pStyle w:val="Heading1"/>
      </w:pPr>
      <w:r>
        <w:t>5. Role and data-access safeguards</w:t>
      </w:r>
    </w:p>
    <w:p>
      <w:pPr>
        <w:pStyle w:val="ListBullet"/>
      </w:pPr>
      <w:r>
        <w:t>The server must independently check user identity, role and resource ownership for protected operations; hiding Admin menus in the UI is insufficient.</w:t>
      </w:r>
    </w:p>
    <w:p>
      <w:pPr>
        <w:pStyle w:val="ListBullet"/>
      </w:pPr>
      <w:r>
        <w:t>Each coach may access only records allowed for that coach. Admin access follows the separately approved administration policy.</w:t>
      </w:r>
    </w:p>
    <w:p>
      <w:pPr>
        <w:pStyle w:val="ListBullet"/>
      </w:pPr>
      <w:r>
        <w:t>Sessions and secrets must be handled through the selected authentication provider / secure OS storage; do not write passwords or tokens into project source or plain local storage.</w:t>
      </w:r>
    </w:p>
    <w:p>
      <w:pPr>
        <w:pStyle w:val="ListBullet"/>
      </w:pPr>
      <w:r>
        <w:t>Password reset is a visible UI entry point, but its detailed process/provider is not specified by this module.</w:t>
      </w:r>
    </w:p>
    <w:p>
      <w:pPr>
        <w:pStyle w:val="Heading1"/>
      </w:pPr>
      <w:r>
        <w:t>6. Acceptance criteria</w:t>
      </w:r>
    </w:p>
    <w:p>
      <w:pPr>
        <w:pStyle w:val="ListBullet"/>
      </w:pPr>
      <w:r>
        <w:t>A Coach signs in and reaches Home without a role choice; account/admin management operations remain inaccessible.</w:t>
      </w:r>
    </w:p>
    <w:p>
      <w:pPr>
        <w:pStyle w:val="ListBullet"/>
      </w:pPr>
      <w:r>
        <w:t>An Admin signs in using the same form and reaches the same Home while retaining authorized administration access.</w:t>
      </w:r>
    </w:p>
    <w:p>
      <w:pPr>
        <w:pStyle w:val="ListBullet"/>
      </w:pPr>
      <w:r>
        <w:t>Choosing any route or client-side parameter cannot elevate a Coach to Admin.</w:t>
      </w:r>
    </w:p>
    <w:p>
      <w:pPr>
        <w:pStyle w:val="ListBullet"/>
      </w:pPr>
      <w:r>
        <w:t>A valid remembered session bypasses login on reopening the app; an expired or revoked session returns to Login.</w:t>
      </w:r>
    </w:p>
    <w:p>
      <w:pPr>
        <w:pStyle w:val="ListBullet"/>
      </w:pPr>
      <w:r>
        <w:t>Authentication failure never opens Home and does not disclose account existence.</w:t>
      </w:r>
    </w:p>
    <w:p>
      <w:pPr>
        <w:pStyle w:val="ListBullet"/>
      </w:pPr>
      <w:r>
        <w:t>Logout clears the app session and prevents access to protected data until reauthentication.</w:t>
      </w:r>
    </w:p>
    <w:p>
      <w:pPr>
        <w:pStyle w:val="Heading1"/>
      </w:pPr>
      <w:r>
        <w:t>7. Outside scope / implementation follow-up</w:t>
      </w:r>
    </w:p>
    <w:p>
      <w:pPr>
        <w:pStyle w:val="ListBullet"/>
      </w:pPr>
      <w:r>
        <w:t>Account initialization, invitations, registration, reset-email delivery and user account management are separate design work.</w:t>
      </w:r>
    </w:p>
    <w:p>
      <w:pPr>
        <w:pStyle w:val="ListBullet"/>
      </w:pPr>
      <w:r>
        <w:t>Select authentication provider, token/session lifetime, password reset process, rate limiting, account lockout and multi-device behavior during implementation review.</w:t>
      </w:r>
    </w:p>
    <w:p>
      <w:pPr>
        <w:pStyle w:val="ListBullet"/>
      </w:pPr>
      <w:r>
        <w:t>Decide final sport-neutral login artwork during visual integration; the approved mockup uses Tennis styling as an example.</w:t>
      </w:r>
    </w:p>
    <w:p>
      <w:pPr>
        <w:pStyle w:val="ListBullet"/>
      </w:pPr>
      <w:r>
        <w:t>Do not copy test passwords from the source workflow document into repository documentation, database seeds or demonstrations.</w:t>
      </w:r>
    </w:p>
    <w:p>
      <w:r>
        <w:br w:type="page"/>
      </w:r>
    </w:p>
    <w:p>
      <w:pPr>
        <w:pStyle w:val="Heading1"/>
      </w:pPr>
      <w:r>
        <w:t>Approved visual reference — LOG-01</w:t>
      </w:r>
    </w:p>
    <w:p>
      <w:r>
        <w:t>The following image is the approved Login visual (role selector removed). The UI is a reference, not an authentication implementation.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47680" cy="7360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lean_modern_mobile_app_login_screen_ui_mocku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47680" cy="7360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Visual Log asset: LOG-01_User-Login_Approved_v1.png</w:t>
      </w:r>
    </w:p>
    <w:sectPr w:rsidR="00FC693F" w:rsidRPr="0006063C" w:rsidSect="00034616">
      <w:headerReference w:type="default" r:id="rId9"/>
      <w:pgSz w:w="12240" w:h="15840"/>
      <w:pgMar w:top="893" w:right="1181" w:bottom="893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ECHOCOACH  /  STAGE 2  /  AUTHENTICATION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554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5544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33D32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