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0AA89" w14:textId="44E8D152" w:rsidR="00D748BF" w:rsidRPr="00D748BF" w:rsidRDefault="00D748BF" w:rsidP="00D748BF">
      <w:pPr>
        <w:spacing w:after="0"/>
        <w:jc w:val="both"/>
        <w:rPr>
          <w:sz w:val="22"/>
          <w:lang w:val="en-US"/>
        </w:rPr>
      </w:pPr>
      <w:r w:rsidRPr="00D748BF">
        <w:rPr>
          <w:b/>
          <w:bCs/>
          <w:sz w:val="22"/>
          <w:lang w:val="en-US"/>
        </w:rPr>
        <w:t>Title:</w:t>
      </w:r>
      <w:r w:rsidRPr="00D748BF">
        <w:rPr>
          <w:sz w:val="22"/>
          <w:lang w:val="en-US"/>
        </w:rPr>
        <w:t xml:space="preserve"> </w:t>
      </w:r>
      <w:r w:rsidRPr="00D748BF">
        <w:rPr>
          <w:sz w:val="22"/>
          <w:lang w:val="en-US"/>
        </w:rPr>
        <w:t>Homework 05 Applied Report: Security and Abuse Pathways on COMPAS</w:t>
      </w:r>
    </w:p>
    <w:p w14:paraId="7A7BBEA3" w14:textId="189AB8CB" w:rsidR="00D748BF" w:rsidRPr="00D748BF" w:rsidRDefault="00D748BF" w:rsidP="00D748BF">
      <w:pPr>
        <w:spacing w:after="0"/>
        <w:jc w:val="both"/>
        <w:rPr>
          <w:sz w:val="22"/>
          <w:lang w:val="en-US"/>
        </w:rPr>
      </w:pPr>
      <w:r w:rsidRPr="00D748BF">
        <w:rPr>
          <w:b/>
          <w:bCs/>
          <w:sz w:val="22"/>
          <w:lang w:val="en-US"/>
        </w:rPr>
        <w:t>Name:</w:t>
      </w:r>
      <w:r w:rsidRPr="00D748BF">
        <w:rPr>
          <w:sz w:val="22"/>
          <w:lang w:val="en-US"/>
        </w:rPr>
        <w:t xml:space="preserve"> </w:t>
      </w:r>
      <w:r w:rsidRPr="00D748BF">
        <w:rPr>
          <w:sz w:val="22"/>
          <w:lang w:val="en-US"/>
        </w:rPr>
        <w:t>Bekhzodjon Rustamov</w:t>
      </w:r>
    </w:p>
    <w:p w14:paraId="528E7275" w14:textId="38328343" w:rsidR="00F12C76" w:rsidRPr="00D748BF" w:rsidRDefault="00D748BF" w:rsidP="00D748BF">
      <w:pPr>
        <w:spacing w:after="0"/>
        <w:jc w:val="both"/>
        <w:rPr>
          <w:sz w:val="22"/>
          <w:lang w:val="en-US"/>
        </w:rPr>
      </w:pPr>
      <w:r w:rsidRPr="00D748BF">
        <w:rPr>
          <w:b/>
          <w:bCs/>
          <w:sz w:val="22"/>
          <w:lang w:val="en-US"/>
        </w:rPr>
        <w:t>Course:</w:t>
      </w:r>
      <w:r w:rsidRPr="00D748BF">
        <w:rPr>
          <w:sz w:val="22"/>
          <w:lang w:val="en-US"/>
        </w:rPr>
        <w:t xml:space="preserve"> </w:t>
      </w:r>
      <w:r w:rsidRPr="00D748BF">
        <w:rPr>
          <w:sz w:val="22"/>
          <w:lang w:val="en-US"/>
        </w:rPr>
        <w:t>Responsible Machine Learning</w:t>
      </w:r>
    </w:p>
    <w:p w14:paraId="54939052" w14:textId="77777777" w:rsidR="00D748BF" w:rsidRDefault="00D748BF" w:rsidP="00D748BF">
      <w:pPr>
        <w:spacing w:after="0"/>
        <w:jc w:val="both"/>
        <w:rPr>
          <w:sz w:val="22"/>
          <w:lang w:val="en-US"/>
        </w:rPr>
      </w:pPr>
    </w:p>
    <w:p w14:paraId="1B08A63E" w14:textId="7BED2AE5" w:rsidR="00D748BF" w:rsidRPr="00D748BF" w:rsidRDefault="00D748BF" w:rsidP="00D748BF">
      <w:pPr>
        <w:spacing w:after="0"/>
        <w:jc w:val="both"/>
        <w:rPr>
          <w:b/>
          <w:bCs/>
          <w:sz w:val="22"/>
          <w:lang w:val="en-US"/>
        </w:rPr>
      </w:pPr>
      <w:r w:rsidRPr="00D748BF">
        <w:rPr>
          <w:b/>
          <w:bCs/>
          <w:sz w:val="22"/>
          <w:lang w:val="en-US"/>
        </w:rPr>
        <w:t>1. Baseline Setup</w:t>
      </w:r>
    </w:p>
    <w:p w14:paraId="2E6C52C6" w14:textId="77777777" w:rsidR="00D748BF" w:rsidRPr="00D748BF" w:rsidRDefault="00D748BF" w:rsidP="00D748BF">
      <w:pPr>
        <w:spacing w:after="0"/>
        <w:jc w:val="both"/>
        <w:rPr>
          <w:sz w:val="22"/>
          <w:lang w:val="en-US"/>
        </w:rPr>
      </w:pPr>
      <w:r w:rsidRPr="00D748BF">
        <w:rPr>
          <w:sz w:val="22"/>
          <w:lang w:val="en-US"/>
        </w:rPr>
        <w:t>This homework extends the Lecture 05 security pipeline using the ProPublica COMPAS dataset. I trained two clean baseline models: Logistic Regression (LR) and Gradient Boosted Tree (GBT). The clean LR model had a Train AUC of 0.727 and Test AUC of 0.735, with a generalization gap of -0.008. The clean GBT model had a Train AUC of 0.798 and Test AUC of 0.718, with a larger generalization gap of 0.080. This means GBT fit the training data more strongly, while LR generalized more stably.</w:t>
      </w:r>
    </w:p>
    <w:p w14:paraId="60E5E1C6" w14:textId="686D3A41" w:rsidR="00D748BF" w:rsidRPr="00D748BF" w:rsidRDefault="00D748BF" w:rsidP="00D748BF">
      <w:pPr>
        <w:spacing w:after="0"/>
        <w:jc w:val="both"/>
        <w:rPr>
          <w:sz w:val="22"/>
          <w:lang w:val="en-US"/>
        </w:rPr>
      </w:pPr>
      <w:r w:rsidRPr="00D748BF">
        <w:rPr>
          <w:sz w:val="22"/>
          <w:lang w:val="en-US"/>
        </w:rPr>
        <w:t xml:space="preserve">The clean fairness baseline showed that both models already had racial differences in false-positive rates. For LR, the false-positive rate was 0.281 for </w:t>
      </w:r>
      <w:r w:rsidR="00FA5233" w:rsidRPr="00D748BF">
        <w:rPr>
          <w:sz w:val="22"/>
          <w:lang w:val="en-US"/>
        </w:rPr>
        <w:t>African American</w:t>
      </w:r>
      <w:r w:rsidRPr="00D748BF">
        <w:rPr>
          <w:sz w:val="22"/>
          <w:lang w:val="en-US"/>
        </w:rPr>
        <w:t xml:space="preserve"> defendants and 0.143 for Caucasian defendants, giving an AIR of 1.961. For GBT, the false-positive rate was 0.317 for </w:t>
      </w:r>
      <w:r w:rsidR="00FA5233" w:rsidRPr="00D748BF">
        <w:rPr>
          <w:sz w:val="22"/>
          <w:lang w:val="en-US"/>
        </w:rPr>
        <w:t>African American</w:t>
      </w:r>
      <w:r w:rsidRPr="00D748BF">
        <w:rPr>
          <w:sz w:val="22"/>
          <w:lang w:val="en-US"/>
        </w:rPr>
        <w:t xml:space="preserve"> defendants and 0.178 for Caucasian defendants, giving an AIR of 1.782. These values served as the reference point for the attack experiments.</w:t>
      </w:r>
    </w:p>
    <w:p w14:paraId="6E135772" w14:textId="77777777" w:rsidR="00D748BF" w:rsidRPr="00D748BF" w:rsidRDefault="00D748BF" w:rsidP="00D748BF">
      <w:pPr>
        <w:spacing w:after="0"/>
        <w:jc w:val="both"/>
        <w:rPr>
          <w:sz w:val="22"/>
          <w:lang w:val="en-US"/>
        </w:rPr>
      </w:pPr>
    </w:p>
    <w:p w14:paraId="770EAD8B" w14:textId="77777777" w:rsidR="00D748BF" w:rsidRPr="00D748BF" w:rsidRDefault="00D748BF" w:rsidP="00D748BF">
      <w:pPr>
        <w:spacing w:after="0"/>
        <w:jc w:val="both"/>
        <w:rPr>
          <w:b/>
          <w:bCs/>
          <w:sz w:val="22"/>
          <w:lang w:val="en-US"/>
        </w:rPr>
      </w:pPr>
      <w:r w:rsidRPr="00D748BF">
        <w:rPr>
          <w:b/>
          <w:bCs/>
          <w:sz w:val="22"/>
          <w:lang w:val="en-US"/>
        </w:rPr>
        <w:t>2. Part A: PGD Evasion Audit</w:t>
      </w:r>
    </w:p>
    <w:p w14:paraId="09249487" w14:textId="77777777" w:rsidR="00D748BF" w:rsidRPr="00D748BF" w:rsidRDefault="00D748BF" w:rsidP="00D748BF">
      <w:pPr>
        <w:spacing w:after="0"/>
        <w:jc w:val="both"/>
        <w:rPr>
          <w:sz w:val="22"/>
          <w:lang w:val="en-US"/>
        </w:rPr>
      </w:pPr>
    </w:p>
    <w:p w14:paraId="5B62A93A" w14:textId="39453FC8" w:rsidR="00D748BF" w:rsidRPr="00D748BF" w:rsidRDefault="00D748BF" w:rsidP="00D748BF">
      <w:pPr>
        <w:spacing w:after="0"/>
        <w:jc w:val="both"/>
        <w:rPr>
          <w:sz w:val="22"/>
          <w:lang w:val="en-US"/>
        </w:rPr>
      </w:pPr>
      <w:r w:rsidRPr="00D748BF">
        <w:rPr>
          <w:sz w:val="22"/>
          <w:lang w:val="en-US"/>
        </w:rPr>
        <w:t xml:space="preserve">In Part A, I ran a PGD-style evasion audit across ε = 0.25, 0.5, 1.0, and 2.0 for both LR and GBT. The LR model was highly sensitive to the attack. As ε increased, the false-positive rate increased sharply for both racial groups. For </w:t>
      </w:r>
      <w:r w:rsidR="00FA5233" w:rsidRPr="00D748BF">
        <w:rPr>
          <w:sz w:val="22"/>
          <w:lang w:val="en-US"/>
        </w:rPr>
        <w:t>African American</w:t>
      </w:r>
      <w:r w:rsidRPr="00D748BF">
        <w:rPr>
          <w:sz w:val="22"/>
          <w:lang w:val="en-US"/>
        </w:rPr>
        <w:t xml:space="preserve"> defendants, FPR rose from 0.281 at baseline to 1.000 at ε = 2.0. For Caucasian defendants, FPR rose from 0.143 to 1.000. This means that under the strongest perturbation, almost all truly low-risk individuals were incorrectly classified as high-risk.</w:t>
      </w:r>
    </w:p>
    <w:p w14:paraId="543E9DDB" w14:textId="6A855449" w:rsidR="00D748BF" w:rsidRPr="00D748BF" w:rsidRDefault="00D748BF" w:rsidP="00D748BF">
      <w:pPr>
        <w:spacing w:after="0"/>
        <w:jc w:val="both"/>
        <w:rPr>
          <w:sz w:val="22"/>
          <w:lang w:val="en-US"/>
        </w:rPr>
      </w:pPr>
      <w:r w:rsidRPr="00D748BF">
        <w:rPr>
          <w:sz w:val="22"/>
          <w:lang w:val="en-US"/>
        </w:rPr>
        <w:t xml:space="preserve">The LR AIR moved from </w:t>
      </w:r>
      <w:r w:rsidR="00FA5233" w:rsidRPr="00D748BF">
        <w:rPr>
          <w:sz w:val="22"/>
          <w:lang w:val="en-US"/>
        </w:rPr>
        <w:t>1.961</w:t>
      </w:r>
      <w:r w:rsidRPr="00D748BF">
        <w:rPr>
          <w:sz w:val="22"/>
          <w:lang w:val="en-US"/>
        </w:rPr>
        <w:t xml:space="preserve"> toward 1.000 at ε = 2.0. This should not be interpreted as a real fairness improvement. The ratio improved only because both groups were pushed toward extremely high false-positive rates. In contrast, the GBT model remained stable under this specific PGD approximation, with FPR and AIR values unchanged across the tested ε values. Therefore, the two models were not equally vulnerable: LR was much more sensitive to PGD evasion, while GBT appeared more resistant under this attack setup.</w:t>
      </w:r>
    </w:p>
    <w:p w14:paraId="013AC722" w14:textId="77777777" w:rsidR="00D748BF" w:rsidRPr="00D748BF" w:rsidRDefault="00D748BF" w:rsidP="00D748BF">
      <w:pPr>
        <w:spacing w:after="0"/>
        <w:jc w:val="both"/>
        <w:rPr>
          <w:sz w:val="22"/>
          <w:lang w:val="en-US"/>
        </w:rPr>
      </w:pPr>
    </w:p>
    <w:p w14:paraId="46F61E65" w14:textId="77777777" w:rsidR="00D748BF" w:rsidRPr="00D748BF" w:rsidRDefault="00D748BF" w:rsidP="00D748BF">
      <w:pPr>
        <w:spacing w:after="0"/>
        <w:jc w:val="both"/>
        <w:rPr>
          <w:b/>
          <w:bCs/>
          <w:sz w:val="22"/>
          <w:lang w:val="en-US"/>
        </w:rPr>
      </w:pPr>
      <w:r w:rsidRPr="00D748BF">
        <w:rPr>
          <w:b/>
          <w:bCs/>
          <w:sz w:val="22"/>
          <w:lang w:val="en-US"/>
        </w:rPr>
        <w:t>3. Part B: Label-Flip Poisoning and PSI Monitoring</w:t>
      </w:r>
    </w:p>
    <w:p w14:paraId="6AF8E7A0" w14:textId="77777777" w:rsidR="00D748BF" w:rsidRPr="00D748BF" w:rsidRDefault="00D748BF" w:rsidP="00D748BF">
      <w:pPr>
        <w:spacing w:after="0"/>
        <w:jc w:val="both"/>
        <w:rPr>
          <w:sz w:val="22"/>
          <w:lang w:val="en-US"/>
        </w:rPr>
      </w:pPr>
    </w:p>
    <w:p w14:paraId="69DACFBF" w14:textId="77777777" w:rsidR="00D748BF" w:rsidRPr="00D748BF" w:rsidRDefault="00D748BF" w:rsidP="00D748BF">
      <w:pPr>
        <w:spacing w:after="0"/>
        <w:jc w:val="both"/>
        <w:rPr>
          <w:sz w:val="22"/>
          <w:lang w:val="en-US"/>
        </w:rPr>
      </w:pPr>
      <w:r w:rsidRPr="00D748BF">
        <w:rPr>
          <w:sz w:val="22"/>
          <w:lang w:val="en-US"/>
        </w:rPr>
        <w:t xml:space="preserve">In Part B, I extended the label-flip poisoning loop to test both </w:t>
      </w:r>
      <w:proofErr w:type="gramStart"/>
      <w:r w:rsidRPr="00D748BF">
        <w:rPr>
          <w:sz w:val="22"/>
          <w:lang w:val="en-US"/>
        </w:rPr>
        <w:t>African-American</w:t>
      </w:r>
      <w:proofErr w:type="gramEnd"/>
      <w:r w:rsidRPr="00D748BF">
        <w:rPr>
          <w:sz w:val="22"/>
          <w:lang w:val="en-US"/>
        </w:rPr>
        <w:t xml:space="preserve">-targeted and Caucasian-targeted poisoning. In each case, a fraction of high-risk training records from the target group was relabeled as </w:t>
      </w:r>
      <w:proofErr w:type="gramStart"/>
      <w:r w:rsidRPr="00D748BF">
        <w:rPr>
          <w:sz w:val="22"/>
          <w:lang w:val="en-US"/>
        </w:rPr>
        <w:t>low-risk</w:t>
      </w:r>
      <w:proofErr w:type="gramEnd"/>
      <w:r w:rsidRPr="00D748BF">
        <w:rPr>
          <w:sz w:val="22"/>
          <w:lang w:val="en-US"/>
        </w:rPr>
        <w:t xml:space="preserve"> before retraining. The key finding is that AUC stayed close to the clean LR baseline of 0.735 across the tested poison rates. Even at higher poison rates, the AUC decline stayed within the </w:t>
      </w:r>
      <w:proofErr w:type="gramStart"/>
      <w:r w:rsidRPr="00D748BF">
        <w:rPr>
          <w:sz w:val="22"/>
          <w:lang w:val="en-US"/>
        </w:rPr>
        <w:t>2 percentage</w:t>
      </w:r>
      <w:proofErr w:type="gramEnd"/>
      <w:r w:rsidRPr="00D748BF">
        <w:rPr>
          <w:sz w:val="22"/>
          <w:lang w:val="en-US"/>
        </w:rPr>
        <w:t xml:space="preserve"> point threshold. This means that an AUC-only monitoring process would likely miss the attack.</w:t>
      </w:r>
    </w:p>
    <w:p w14:paraId="3C795F30" w14:textId="77777777" w:rsidR="00D748BF" w:rsidRPr="00D748BF" w:rsidRDefault="00D748BF" w:rsidP="00D748BF">
      <w:pPr>
        <w:spacing w:after="0"/>
        <w:jc w:val="both"/>
        <w:rPr>
          <w:sz w:val="22"/>
          <w:lang w:val="en-US"/>
        </w:rPr>
      </w:pPr>
      <w:r w:rsidRPr="00D748BF">
        <w:rPr>
          <w:sz w:val="22"/>
          <w:lang w:val="en-US"/>
        </w:rPr>
        <w:t xml:space="preserve">The fairness metrics changed more meaningfully than AUC. Under </w:t>
      </w:r>
      <w:proofErr w:type="gramStart"/>
      <w:r w:rsidRPr="00D748BF">
        <w:rPr>
          <w:sz w:val="22"/>
          <w:lang w:val="en-US"/>
        </w:rPr>
        <w:t>African-American</w:t>
      </w:r>
      <w:proofErr w:type="gramEnd"/>
      <w:r w:rsidRPr="00D748BF">
        <w:rPr>
          <w:sz w:val="22"/>
          <w:lang w:val="en-US"/>
        </w:rPr>
        <w:t>-targeted poisoning, AIR eventually increased sharply and approached about 3.0 at the highest poison rate. Under Caucasian-targeted poisoning, AIR also remained outside the fairness band of [0.80, 1.25], although the movement was less severe. This creates a stealth-zone problem: aggregate performance appears stable, but fairness risk remains high or worsens.</w:t>
      </w:r>
    </w:p>
    <w:p w14:paraId="61285A35" w14:textId="77777777" w:rsidR="00D748BF" w:rsidRPr="00D748BF" w:rsidRDefault="00D748BF" w:rsidP="00D748BF">
      <w:pPr>
        <w:spacing w:after="0"/>
        <w:jc w:val="both"/>
        <w:rPr>
          <w:sz w:val="22"/>
          <w:lang w:val="en-US"/>
        </w:rPr>
      </w:pPr>
      <w:r w:rsidRPr="00D748BF">
        <w:rPr>
          <w:sz w:val="22"/>
          <w:lang w:val="en-US"/>
        </w:rPr>
        <w:t xml:space="preserve">A PSI-based feature drift monitor would also not detect this attack if only labels </w:t>
      </w:r>
      <w:proofErr w:type="gramStart"/>
      <w:r w:rsidRPr="00D748BF">
        <w:rPr>
          <w:sz w:val="22"/>
          <w:lang w:val="en-US"/>
        </w:rPr>
        <w:t>are</w:t>
      </w:r>
      <w:proofErr w:type="gramEnd"/>
      <w:r w:rsidRPr="00D748BF">
        <w:rPr>
          <w:sz w:val="22"/>
          <w:lang w:val="en-US"/>
        </w:rPr>
        <w:t xml:space="preserve"> corrupted. The feature distributions stay unchanged, so feature-level PSI remains below the 0.10 threshold. This shows that security monitoring needs to include label-integrity checks and group-specific fairness metrics, not just AUC and feature drift.</w:t>
      </w:r>
    </w:p>
    <w:p w14:paraId="64198615" w14:textId="77777777" w:rsidR="00D748BF" w:rsidRPr="00D748BF" w:rsidRDefault="00D748BF" w:rsidP="00D748BF">
      <w:pPr>
        <w:spacing w:after="0"/>
        <w:jc w:val="both"/>
        <w:rPr>
          <w:sz w:val="22"/>
          <w:lang w:val="en-US"/>
        </w:rPr>
      </w:pPr>
    </w:p>
    <w:p w14:paraId="4239C3DF" w14:textId="77777777" w:rsidR="00D748BF" w:rsidRPr="00FA5233" w:rsidRDefault="00D748BF" w:rsidP="00D748BF">
      <w:pPr>
        <w:spacing w:after="0"/>
        <w:jc w:val="both"/>
        <w:rPr>
          <w:b/>
          <w:bCs/>
          <w:sz w:val="22"/>
          <w:lang w:val="en-US"/>
        </w:rPr>
      </w:pPr>
      <w:r w:rsidRPr="00FA5233">
        <w:rPr>
          <w:b/>
          <w:bCs/>
          <w:sz w:val="22"/>
          <w:lang w:val="en-US"/>
        </w:rPr>
        <w:t>4. Part C: Membership Inference and L2 Regularization</w:t>
      </w:r>
    </w:p>
    <w:p w14:paraId="3D1C1F99" w14:textId="77777777" w:rsidR="00D748BF" w:rsidRPr="00D748BF" w:rsidRDefault="00D748BF" w:rsidP="00D748BF">
      <w:pPr>
        <w:spacing w:after="0"/>
        <w:jc w:val="both"/>
        <w:rPr>
          <w:sz w:val="22"/>
          <w:lang w:val="en-US"/>
        </w:rPr>
      </w:pPr>
    </w:p>
    <w:p w14:paraId="7AF50566" w14:textId="77777777" w:rsidR="00D748BF" w:rsidRPr="00D748BF" w:rsidRDefault="00D748BF" w:rsidP="00D748BF">
      <w:pPr>
        <w:spacing w:after="0"/>
        <w:jc w:val="both"/>
        <w:rPr>
          <w:sz w:val="22"/>
          <w:lang w:val="en-US"/>
        </w:rPr>
      </w:pPr>
      <w:r w:rsidRPr="00D748BF">
        <w:rPr>
          <w:sz w:val="22"/>
          <w:lang w:val="en-US"/>
        </w:rPr>
        <w:t>In Part C, I evaluated membership inference risk for both LR and GBT using a shadow-model confidence-score attack. The LR model had an MI AUC of 0.500, and the GBT model had an MI AUC of 0.502. Both values are essentially random guessing, which means the attacker could not reliably distinguish training members from non-members.</w:t>
      </w:r>
    </w:p>
    <w:p w14:paraId="4F11C112" w14:textId="77777777" w:rsidR="00D748BF" w:rsidRPr="00D748BF" w:rsidRDefault="00D748BF" w:rsidP="00D748BF">
      <w:pPr>
        <w:spacing w:after="0"/>
        <w:jc w:val="both"/>
        <w:rPr>
          <w:sz w:val="22"/>
          <w:lang w:val="en-US"/>
        </w:rPr>
      </w:pPr>
      <w:r w:rsidRPr="00D748BF">
        <w:rPr>
          <w:sz w:val="22"/>
          <w:lang w:val="en-US"/>
        </w:rPr>
        <w:t xml:space="preserve">The confidence-gap histograms supported this result. LR had a mean train confidence of 0.658 and mean test confidence of 0.659, giving a confidence gap of -0.001. GBT had a mean train confidence of 0.702 and mean test confidence of 0.697, giving a small confidence gap of 0.005. Although GBT had a larger </w:t>
      </w:r>
      <w:r w:rsidRPr="00D748BF">
        <w:rPr>
          <w:sz w:val="22"/>
          <w:lang w:val="en-US"/>
        </w:rPr>
        <w:lastRenderedPageBreak/>
        <w:t>generalization gap than LR, both MI AUC values were still near 0.50. In this experiment, the generalization gap did not strongly predict membership inference success.</w:t>
      </w:r>
    </w:p>
    <w:p w14:paraId="6F415109" w14:textId="77777777" w:rsidR="00D748BF" w:rsidRPr="00D748BF" w:rsidRDefault="00D748BF" w:rsidP="00D748BF">
      <w:pPr>
        <w:spacing w:after="0"/>
        <w:jc w:val="both"/>
        <w:rPr>
          <w:sz w:val="22"/>
          <w:lang w:val="en-US"/>
        </w:rPr>
      </w:pPr>
      <w:r w:rsidRPr="00D748BF">
        <w:rPr>
          <w:sz w:val="22"/>
          <w:lang w:val="en-US"/>
        </w:rPr>
        <w:t>I also tested L2 regularization for LR using C = 0.01, 0.1, 1.0, and 10.0. The MI AUC stayed between 0.499 and 0.506, which is still essentially random guessing. Stronger regularization slightly reduced Test AUC, but it did not meaningfully reduce membership inference risk because the risk was already low.</w:t>
      </w:r>
    </w:p>
    <w:p w14:paraId="37CEB889" w14:textId="77777777" w:rsidR="00D748BF" w:rsidRPr="00D748BF" w:rsidRDefault="00D748BF" w:rsidP="00D748BF">
      <w:pPr>
        <w:spacing w:after="0"/>
        <w:jc w:val="both"/>
        <w:rPr>
          <w:sz w:val="22"/>
          <w:lang w:val="en-US"/>
        </w:rPr>
      </w:pPr>
    </w:p>
    <w:p w14:paraId="108A39C3" w14:textId="77777777" w:rsidR="00D748BF" w:rsidRPr="00FA5233" w:rsidRDefault="00D748BF" w:rsidP="00D748BF">
      <w:pPr>
        <w:spacing w:after="0"/>
        <w:jc w:val="both"/>
        <w:rPr>
          <w:b/>
          <w:bCs/>
          <w:sz w:val="22"/>
          <w:lang w:val="en-US"/>
        </w:rPr>
      </w:pPr>
      <w:r w:rsidRPr="00FA5233">
        <w:rPr>
          <w:b/>
          <w:bCs/>
          <w:sz w:val="22"/>
          <w:lang w:val="en-US"/>
        </w:rPr>
        <w:t>5. Final Reflection and Mitigation Plan</w:t>
      </w:r>
    </w:p>
    <w:p w14:paraId="21D6A716" w14:textId="77777777" w:rsidR="00D748BF" w:rsidRPr="00D748BF" w:rsidRDefault="00D748BF" w:rsidP="00D748BF">
      <w:pPr>
        <w:spacing w:after="0"/>
        <w:jc w:val="both"/>
        <w:rPr>
          <w:sz w:val="22"/>
          <w:lang w:val="en-US"/>
        </w:rPr>
      </w:pPr>
    </w:p>
    <w:p w14:paraId="42D4C824" w14:textId="77777777" w:rsidR="00D748BF" w:rsidRPr="00D748BF" w:rsidRDefault="00D748BF" w:rsidP="00D748BF">
      <w:pPr>
        <w:spacing w:after="0"/>
        <w:jc w:val="both"/>
        <w:rPr>
          <w:sz w:val="22"/>
          <w:lang w:val="en-US"/>
        </w:rPr>
      </w:pPr>
      <w:r w:rsidRPr="00D748BF">
        <w:rPr>
          <w:sz w:val="22"/>
          <w:lang w:val="en-US"/>
        </w:rPr>
        <w:t>Across the three experiments, the highest-risk finding is the label-flip poisoning result from Part B. This attack is more concerning than membership inference because it can degrade fairness while leaving AUC almost unchanged. AUC-only monitoring would likely fail to detect it, and PSI-based feature monitoring would also miss it because the features are not changing.</w:t>
      </w:r>
    </w:p>
    <w:p w14:paraId="6D1CC9CB" w14:textId="77777777" w:rsidR="00D748BF" w:rsidRPr="00D748BF" w:rsidRDefault="00D748BF" w:rsidP="00D748BF">
      <w:pPr>
        <w:spacing w:after="0"/>
        <w:jc w:val="both"/>
        <w:rPr>
          <w:sz w:val="22"/>
          <w:lang w:val="en-US"/>
        </w:rPr>
      </w:pPr>
      <w:r w:rsidRPr="00D748BF">
        <w:rPr>
          <w:sz w:val="22"/>
          <w:lang w:val="en-US"/>
        </w:rPr>
        <w:t>The proactive mitigation should be label-integrity monitoring before model training. This means checking whether label distributions change unusually by race, target class, and data source before the model is retrained. In this experiment, the strongest evidence is that AIR changed while AUC stayed stable. A proactive audit could flag suspicious group-specific label changes before deployment.</w:t>
      </w:r>
    </w:p>
    <w:p w14:paraId="7DDEF06E" w14:textId="4C59C8BC" w:rsidR="00D748BF" w:rsidRPr="00D748BF" w:rsidRDefault="00D748BF" w:rsidP="00D748BF">
      <w:pPr>
        <w:spacing w:after="0"/>
        <w:jc w:val="both"/>
        <w:rPr>
          <w:sz w:val="22"/>
          <w:lang w:val="en-US"/>
        </w:rPr>
      </w:pPr>
      <w:r w:rsidRPr="00D748BF">
        <w:rPr>
          <w:sz w:val="22"/>
          <w:lang w:val="en-US"/>
        </w:rPr>
        <w:t>The reactive mitigation should be attack-triggered rollback and retraining. If fairness monitoring detects that AIR moves further outside the acceptable band of [0.80, 1.25], the model should be paused, the suspicious training batch should be investigated, and the model should be retrained using the last verified clean dataset. However, because the clean baseline already had AIR above 1.25, rollback alone is not enough. The deployment pipeline should combine security and fairness governance by monitoring AUC, FPR by race, AIR, label distributions, and PSI-style drift signals together.</w:t>
      </w:r>
    </w:p>
    <w:sectPr w:rsidR="00D748BF" w:rsidRPr="00D748B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BF"/>
    <w:rsid w:val="00196D7A"/>
    <w:rsid w:val="002824D2"/>
    <w:rsid w:val="005B0784"/>
    <w:rsid w:val="006C0B77"/>
    <w:rsid w:val="008242FF"/>
    <w:rsid w:val="00870751"/>
    <w:rsid w:val="00922C48"/>
    <w:rsid w:val="00B915B7"/>
    <w:rsid w:val="00D748BF"/>
    <w:rsid w:val="00EA00E7"/>
    <w:rsid w:val="00EA59DF"/>
    <w:rsid w:val="00EE4070"/>
    <w:rsid w:val="00F12C76"/>
    <w:rsid w:val="00FA52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4A2A1"/>
  <w15:chartTrackingRefBased/>
  <w15:docId w15:val="{703CB1BF-CF27-4660-A367-52E5FF06E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D748B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748B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748B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D748B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748B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748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48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48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48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8B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748B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748B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748BF"/>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D748BF"/>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D748BF"/>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748BF"/>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748BF"/>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748BF"/>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D748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8B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74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8BF"/>
    <w:pPr>
      <w:spacing w:before="160"/>
      <w:jc w:val="center"/>
    </w:pPr>
    <w:rPr>
      <w:i/>
      <w:iCs/>
      <w:color w:val="404040" w:themeColor="text1" w:themeTint="BF"/>
    </w:rPr>
  </w:style>
  <w:style w:type="character" w:customStyle="1" w:styleId="QuoteChar">
    <w:name w:val="Quote Char"/>
    <w:basedOn w:val="DefaultParagraphFont"/>
    <w:link w:val="Quote"/>
    <w:uiPriority w:val="29"/>
    <w:rsid w:val="00D748BF"/>
    <w:rPr>
      <w:rFonts w:ascii="Times New Roman" w:hAnsi="Times New Roman"/>
      <w:i/>
      <w:iCs/>
      <w:color w:val="404040" w:themeColor="text1" w:themeTint="BF"/>
      <w:sz w:val="28"/>
    </w:rPr>
  </w:style>
  <w:style w:type="paragraph" w:styleId="ListParagraph">
    <w:name w:val="List Paragraph"/>
    <w:basedOn w:val="Normal"/>
    <w:uiPriority w:val="34"/>
    <w:qFormat/>
    <w:rsid w:val="00D748BF"/>
    <w:pPr>
      <w:ind w:left="720"/>
      <w:contextualSpacing/>
    </w:pPr>
  </w:style>
  <w:style w:type="character" w:styleId="IntenseEmphasis">
    <w:name w:val="Intense Emphasis"/>
    <w:basedOn w:val="DefaultParagraphFont"/>
    <w:uiPriority w:val="21"/>
    <w:qFormat/>
    <w:rsid w:val="00D748BF"/>
    <w:rPr>
      <w:i/>
      <w:iCs/>
      <w:color w:val="2E74B5" w:themeColor="accent1" w:themeShade="BF"/>
    </w:rPr>
  </w:style>
  <w:style w:type="paragraph" w:styleId="IntenseQuote">
    <w:name w:val="Intense Quote"/>
    <w:basedOn w:val="Normal"/>
    <w:next w:val="Normal"/>
    <w:link w:val="IntenseQuoteChar"/>
    <w:uiPriority w:val="30"/>
    <w:qFormat/>
    <w:rsid w:val="00D748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48BF"/>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D748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905</Words>
  <Characters>5160</Characters>
  <Application>Microsoft Office Word</Application>
  <DocSecurity>0</DocSecurity>
  <Lines>43</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Rustamov, Bek</dc:creator>
  <cp:keywords/>
  <dc:description/>
  <cp:lastModifiedBy>Rustamov, Bek</cp:lastModifiedBy>
  <cp:revision>2</cp:revision>
  <dcterms:created xsi:type="dcterms:W3CDTF">2026-04-25T03:02:00Z</dcterms:created>
  <dcterms:modified xsi:type="dcterms:W3CDTF">2026-04-25T03:08:00Z</dcterms:modified>
</cp:coreProperties>
</file>