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0" w:space="8"/>
        </w:pBdr>
        <w:spacing w:after="240"/>
        <w:jc w:val="center"/>
      </w:pPr>
      <w:r>
        <w:rPr>
          <w:rFonts w:ascii="Malgun Gothic" w:cs="Malgun Gothic" w:eastAsia="Malgun Gothic" w:hAnsi="Malgun Gothic"/>
          <w:b/>
          <w:bCs/>
          <w:color w:val="000000"/>
          <w:sz w:val="30"/>
          <w:szCs w:val="30"/>
        </w:rPr>
        <w:t xml:space="preserve">로봇착유기 보급 현장 기술지원(컨설팅) 대장</w:t>
      </w:r>
    </w:p>
    <w:p>
      <w:pPr>
        <w:spacing w:after="70" w:before="200"/>
      </w:pPr>
      <w:r>
        <w:rPr>
          <w:rFonts w:ascii="Malgun Gothic" w:cs="Malgun Gothic" w:eastAsia="Malgun Gothic" w:hAnsi="Malgun Gothic"/>
          <w:b/>
          <w:bCs/>
          <w:color w:val="000000"/>
          <w:sz w:val="23"/>
          <w:szCs w:val="23"/>
        </w:rPr>
        <w:t xml:space="preserve">□ 개  요</w:t>
      </w:r>
    </w:p>
    <w:p>
      <w:pPr>
        <w:spacing w:after="24"/>
        <w:ind w:left="360" w:hanging="260"/>
      </w:pPr>
      <w:r>
        <w:rPr>
          <w:rFonts w:ascii="Malgun Gothic" w:cs="Malgun Gothic" w:eastAsia="Malgun Gothic" w:hAnsi="Malgun Gothic"/>
          <w:b w:val="false"/>
          <w:bCs w:val="false"/>
          <w:color w:val="000000"/>
          <w:sz w:val="19"/>
          <w:szCs w:val="19"/>
        </w:rPr>
        <w:t xml:space="preserve">○ 목적 : 국산 로봇착유기·스마트팜 등 낙농 현장 기술지원(컨설팅) 실적 정리</w:t>
      </w:r>
    </w:p>
    <w:p>
      <w:pPr>
        <w:spacing w:after="24"/>
        <w:ind w:left="360" w:hanging="260"/>
      </w:pPr>
      <w:r>
        <w:rPr>
          <w:rFonts w:ascii="Malgun Gothic" w:cs="Malgun Gothic" w:eastAsia="Malgun Gothic" w:hAnsi="Malgun Gothic"/>
          <w:b w:val="false"/>
          <w:bCs w:val="false"/>
          <w:color w:val="000000"/>
          <w:sz w:val="19"/>
          <w:szCs w:val="19"/>
        </w:rPr>
        <w:t xml:space="preserve">○ 기간 : 2011. 10. ~ 2026. 6.</w:t>
      </w:r>
    </w:p>
    <w:p>
      <w:pPr>
        <w:spacing w:after="24"/>
        <w:ind w:left="360" w:hanging="260"/>
      </w:pPr>
      <w:r>
        <w:rPr>
          <w:rFonts w:ascii="Malgun Gothic" w:cs="Malgun Gothic" w:eastAsia="Malgun Gothic" w:hAnsi="Malgun Gothic"/>
          <w:b w:val="false"/>
          <w:bCs w:val="false"/>
          <w:color w:val="000000"/>
          <w:sz w:val="19"/>
          <w:szCs w:val="19"/>
        </w:rPr>
        <w:t xml:space="preserve">○ 수행 : 국립축산과학원 낙농과 (박성민 농업연구사)</w:t>
      </w:r>
    </w:p>
    <w:p>
      <w:pPr>
        <w:spacing w:after="24"/>
        <w:ind w:left="360" w:hanging="260"/>
      </w:pPr>
      <w:r>
        <w:rPr>
          <w:rFonts w:ascii="Malgun Gothic" w:cs="Malgun Gothic" w:eastAsia="Malgun Gothic" w:hAnsi="Malgun Gothic"/>
          <w:b w:val="false"/>
          <w:bCs w:val="false"/>
          <w:color w:val="000000"/>
          <w:sz w:val="19"/>
          <w:szCs w:val="19"/>
        </w:rPr>
        <w:t xml:space="preserve">○ 자료 : 국가 R&amp;D 성과등록(현장기술지원) 기준 · 건수는 각 건의 실적 수 합산</w:t>
      </w:r>
    </w:p>
    <w:p>
      <w:pPr>
        <w:spacing w:after="70" w:before="200"/>
      </w:pPr>
      <w:r>
        <w:rPr>
          <w:rFonts w:ascii="Malgun Gothic" w:cs="Malgun Gothic" w:eastAsia="Malgun Gothic" w:hAnsi="Malgun Gothic"/>
          <w:b/>
          <w:bCs/>
          <w:color w:val="000000"/>
          <w:sz w:val="23"/>
          <w:szCs w:val="23"/>
        </w:rPr>
        <w:t xml:space="preserve">□ 총괄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0"/>
        <w:gridCol w:w="2314"/>
        <w:gridCol w:w="2314"/>
      </w:tblGrid>
      <w:tr>
        <w:tc>
          <w:tcPr>
            <w:tcW w:type="dxa" w:w="501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구분</w:t>
            </w:r>
          </w:p>
        </w:tc>
        <w:tc>
          <w:tcPr>
            <w:tcW w:type="dxa" w:w="2314"/>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등록 건수</w:t>
            </w:r>
          </w:p>
        </w:tc>
        <w:tc>
          <w:tcPr>
            <w:tcW w:type="dxa" w:w="2314"/>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실적 건수</w:t>
            </w:r>
          </w:p>
        </w:tc>
      </w:tr>
      <w:tr>
        <w:tc>
          <w:tcPr>
            <w:tcW w:type="dxa" w:w="501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전체 현장 기술지원</w:t>
            </w:r>
          </w:p>
        </w:tc>
        <w:tc>
          <w:tcPr>
            <w:tcW w:type="dxa" w:w="2314"/>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116</w:t>
            </w:r>
          </w:p>
        </w:tc>
        <w:tc>
          <w:tcPr>
            <w:tcW w:type="dxa" w:w="2314"/>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286</w:t>
            </w:r>
          </w:p>
        </w:tc>
      </w:tr>
      <w:tr>
        <w:tc>
          <w:tcPr>
            <w:tcW w:type="dxa" w:w="501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left"/>
            </w:pPr>
            <w:r>
              <w:rPr>
                <w:rFonts w:ascii="Malgun Gothic" w:cs="Malgun Gothic" w:eastAsia="Malgun Gothic" w:hAnsi="Malgun Gothic"/>
                <w:b/>
                <w:bCs/>
                <w:color w:val="000000"/>
                <w:sz w:val="18"/>
                <w:szCs w:val="18"/>
              </w:rPr>
              <w:t xml:space="preserve">　├ 공적관련 (스마트팜·로봇착유기)</w:t>
            </w:r>
          </w:p>
        </w:tc>
        <w:tc>
          <w:tcPr>
            <w:tcW w:type="dxa" w:w="2314"/>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36</w:t>
            </w:r>
          </w:p>
        </w:tc>
        <w:tc>
          <w:tcPr>
            <w:tcW w:type="dxa" w:w="2314"/>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73</w:t>
            </w:r>
          </w:p>
        </w:tc>
      </w:tr>
      <w:tr>
        <w:tc>
          <w:tcPr>
            <w:tcW w:type="dxa" w:w="501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　└ 일반 현장기술지원</w:t>
            </w:r>
          </w:p>
        </w:tc>
        <w:tc>
          <w:tcPr>
            <w:tcW w:type="dxa" w:w="2314"/>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80</w:t>
            </w:r>
          </w:p>
        </w:tc>
        <w:tc>
          <w:tcPr>
            <w:tcW w:type="dxa" w:w="2314"/>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213</w:t>
            </w:r>
          </w:p>
        </w:tc>
      </w:tr>
    </w:tbl>
    <w:p>
      <w:pPr>
        <w:spacing w:after="40" w:before="40"/>
      </w:pPr>
      <w:r>
        <w:rPr>
          <w:rFonts w:ascii="Malgun Gothic" w:cs="Malgun Gothic" w:eastAsia="Malgun Gothic" w:hAnsi="Malgun Gothic"/>
          <w:b w:val="false"/>
          <w:bCs w:val="false"/>
          <w:color w:val="000000"/>
          <w:sz w:val="16"/>
          <w:szCs w:val="16"/>
        </w:rPr>
        <w:t xml:space="preserve">＊‘등록 건수’ = 성과 등록 건, ‘실적 건수’ = 각 등록 건의 실적 수(농가·회차 등) 합산.</w:t>
      </w:r>
    </w:p>
    <w:p>
      <w:pPr>
        <w:spacing w:after="70" w:before="200"/>
      </w:pPr>
      <w:r>
        <w:rPr>
          <w:rFonts w:ascii="Malgun Gothic" w:cs="Malgun Gothic" w:eastAsia="Malgun Gothic" w:hAnsi="Malgun Gothic"/>
          <w:b/>
          <w:bCs/>
          <w:color w:val="000000"/>
          <w:sz w:val="23"/>
          <w:szCs w:val="23"/>
        </w:rPr>
        <w:t xml:space="preserve">□ 연도별 현황 (실적 건수)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19"/>
        <w:gridCol w:w="3919"/>
      </w:tblGrid>
      <w:tr>
        <w:tc>
          <w:tcPr>
            <w:tcW w:type="dxa" w:w="18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연도</w:t>
            </w:r>
          </w:p>
        </w:tc>
        <w:tc>
          <w:tcPr>
            <w:tcW w:type="dxa" w:w="3919"/>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전체 기술지원</w:t>
            </w:r>
          </w:p>
        </w:tc>
        <w:tc>
          <w:tcPr>
            <w:tcW w:type="dxa" w:w="3919"/>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공적관련 (스마트팜·로봇착유기)</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2011</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5</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0</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2012</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31</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0</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2013</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76</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2014</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42</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2015</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19</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2016</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5</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2017</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9</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0</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2018</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6</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0</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2019</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12</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10</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8</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2021</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10</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8</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2023</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38</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35</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2025</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11</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w:t>
            </w:r>
          </w:p>
        </w:tc>
      </w:tr>
      <w:tr>
        <w:tc>
          <w:tcPr>
            <w:tcW w:type="dxa" w:w="1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2026</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8</w:t>
            </w:r>
          </w:p>
        </w:tc>
        <w:tc>
          <w:tcPr>
            <w:tcW w:type="dxa" w:w="3919"/>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w:t>
            </w:r>
          </w:p>
        </w:tc>
      </w:tr>
      <w:tr>
        <w:tc>
          <w:tcPr>
            <w:tcW w:type="dxa" w:w="18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합계</w:t>
            </w:r>
          </w:p>
        </w:tc>
        <w:tc>
          <w:tcPr>
            <w:tcW w:type="dxa" w:w="3919"/>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286</w:t>
            </w:r>
          </w:p>
        </w:tc>
        <w:tc>
          <w:tcPr>
            <w:tcW w:type="dxa" w:w="3919"/>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73</w:t>
            </w:r>
          </w:p>
        </w:tc>
      </w:tr>
    </w:tbl>
    <w:p>
      <w:pPr>
        <w:spacing w:after="70" w:before="200"/>
      </w:pPr>
      <w:r>
        <w:rPr>
          <w:rFonts w:ascii="Malgun Gothic" w:cs="Malgun Gothic" w:eastAsia="Malgun Gothic" w:hAnsi="Malgun Gothic"/>
          <w:b/>
          <w:bCs/>
          <w:color w:val="000000"/>
          <w:sz w:val="23"/>
          <w:szCs w:val="23"/>
        </w:rPr>
        <w:t xml:space="preserve">□ 공적관련(스마트팜·로봇착유기) 기술지원 내역 (등록 36건 · 실적 73건)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6338"/>
        <w:gridCol w:w="1200"/>
      </w:tblGrid>
      <w:tr>
        <w:tc>
          <w:tcPr>
            <w:tcW w:type="dxa" w:w="8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연번</w:t>
            </w:r>
          </w:p>
        </w:tc>
        <w:tc>
          <w:tcPr>
            <w:tcW w:type="dxa" w:w="13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년월</w:t>
            </w:r>
          </w:p>
        </w:tc>
        <w:tc>
          <w:tcPr>
            <w:tcW w:type="dxa" w:w="6338"/>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기술지원 제목</w:t>
            </w:r>
          </w:p>
        </w:tc>
        <w:tc>
          <w:tcPr>
            <w:tcW w:type="dxa" w:w="12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실적수</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2013. 6.</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자동착유 선진농가 방문</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2014. 8.</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자동착유시스템 설치 농가 현장 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2015. 6.</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자동착유 젖소 농가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4</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2016. 4.</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젖소 ICT시설 현장 조사 및 기술지원 결과보고</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5</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2016. 11.</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국내산 착유기 개발농가 방문 및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6</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2019. 3.</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로봇착유기 실증시험 대상농장 조사 및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7</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2019. 7.</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무인주행형 TMR자동급여기 활용 현장 기술 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8</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2019. 11.</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스마트팜 기술이전 업체 기술 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9</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2020. 1.</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ICT 활용 낙농 스마트팜 현장기술지원(보령)</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10</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무인로봇활용섬유질자가배합사료급여시스템기술시범 현장기술지원(청주)</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11</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무인로봇활용섬유질자가배합사료급여시스템기술시범현장기술지원(양주)</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12</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2020. 5.</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축산 스마트팜 현장 기술 지원(금산)</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13</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2020. 7.</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스마트 생체정보 관리시스템 보급 시범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14</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2020. 12.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낙농 스마트팜 기술이전 업체 비대면 기술 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15</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2021. 6.</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낙농 스마트팜 기술이전 업체 기술 지원 결과 보고</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16</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2021. 9.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낙농 스마트팜 현장 기술 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17</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2021. 9.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반추위 삽입형 센서 농가 시범활용 실태 조사 및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18</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2021. 9.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위 캡슐형 센서 농가 시범활용 실태 조사 및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19</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2023. 9.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착유로봇 시범사업 농가 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2023. 9.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로복착유기 보급 시범 현장방문(0914, 서산)</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21</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2024. 1.</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로봇착유기 보급 시범 현장기술지원(0124,용인)</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22</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로봇착유기 보급 시범 현장방문(0221,용인)</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23</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2024. 3.</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로봇착유기 보급 시범 현장기술지원(0325~26,대구,고성)</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24</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2024. 5.</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운영농가 실태조사 결과 보고</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5</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25</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2024. 6.</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도입 및 운영 농가 교육 및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26</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2024. 6.</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도입 및 운영 농가 현장기술지원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27</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2024. 7.</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로복착유기 보급 시범 및 고온기 현장기술지원(0705,이천 젖소)</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28</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2024. 12.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 결과보고(임실, 보성)</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29</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2024. 12.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운영농가 기술지원</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18</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30</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2024. 12.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한국형 로봇착유기 시범사업 현장기술지원 (진안, 고성, 대구)</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31</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2025. 5.</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 결과보고(파주, 임실)</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32</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2025. 9.</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농가교육(임실)</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33</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2025. 10.</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농가교육(양평)</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34</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2026. 2.</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 결과보고(양평)</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35</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2026. 3.</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 결과보고(고성)</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w:t>
            </w:r>
          </w:p>
        </w:tc>
      </w:tr>
      <w:tr>
        <w:tc>
          <w:tcPr>
            <w:tcW w:type="dxa" w:w="8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36</w:t>
            </w:r>
          </w:p>
        </w:tc>
        <w:tc>
          <w:tcPr>
            <w:tcW w:type="dxa" w:w="13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2026. 4.</w:t>
            </w:r>
          </w:p>
        </w:tc>
        <w:tc>
          <w:tcPr>
            <w:tcW w:type="dxa" w:w="6338"/>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left"/>
            </w:pPr>
            <w:r>
              <w:rPr>
                <w:rFonts w:ascii="Malgun Gothic" w:cs="Malgun Gothic" w:eastAsia="Malgun Gothic" w:hAnsi="Malgun Gothic"/>
                <w:b w:val="false"/>
                <w:bCs w:val="false"/>
                <w:color w:val="000000"/>
                <w:sz w:val="18"/>
                <w:szCs w:val="18"/>
              </w:rPr>
              <w:t xml:space="preserve">국산 로봇착유기 운영 Q&amp;A 활용 농가교육 결과보고(파주)</w:t>
            </w:r>
          </w:p>
        </w:tc>
        <w:tc>
          <w:tcPr>
            <w:tcW w:type="dxa" w:w="1200"/>
            <w:tcBorders>
              <w:top w:val="single" w:color="000000" w:sz="6"/>
              <w:left w:val="single" w:color="000000" w:sz="6"/>
              <w:bottom w:val="single" w:color="000000" w:sz="6"/>
              <w:right w:val="single" w:color="000000" w:sz="6"/>
            </w:tcBorders>
            <w:tcMar>
              <w:top w:type="dxa" w:w="30"/>
              <w:left w:type="dxa" w:w="60"/>
              <w:bottom w:type="dxa" w:w="30"/>
              <w:right w:type="dxa" w:w="60"/>
            </w:tcMar>
            <w:vAlign w:val="center"/>
          </w:tcPr>
          <w:p>
            <w:pPr>
              <w:jc w:val="center"/>
            </w:pPr>
            <w:r>
              <w:rPr>
                <w:rFonts w:ascii="Malgun Gothic" w:cs="Malgun Gothic" w:eastAsia="Malgun Gothic" w:hAnsi="Malgun Gothic"/>
                <w:b w:val="false"/>
                <w:bCs w:val="false"/>
                <w:color w:val="000000"/>
                <w:sz w:val="18"/>
                <w:szCs w:val="18"/>
              </w:rPr>
              <w:t xml:space="preserve">1</w:t>
            </w:r>
          </w:p>
        </w:tc>
      </w:tr>
      <w:tr>
        <w:tc>
          <w:tcPr>
            <w:gridSpan w:val="3"/>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합　계</w:t>
            </w:r>
          </w:p>
        </w:tc>
        <w:tc>
          <w:tcPr>
            <w:tcW w:type="dxa" w:w="1200"/>
            <w:tcBorders>
              <w:top w:val="single" w:color="000000" w:sz="6"/>
              <w:left w:val="single" w:color="000000" w:sz="6"/>
              <w:bottom w:val="single" w:color="000000" w:sz="6"/>
              <w:right w:val="single" w:color="000000" w:sz="6"/>
            </w:tcBorders>
            <w:shd w:fill="EFEFEF" w:color="auto" w:val="clear"/>
            <w:tcMar>
              <w:top w:type="dxa" w:w="30"/>
              <w:left w:type="dxa" w:w="60"/>
              <w:bottom w:type="dxa" w:w="30"/>
              <w:right w:type="dxa" w:w="60"/>
            </w:tcMar>
            <w:vAlign w:val="center"/>
          </w:tcPr>
          <w:p>
            <w:pPr>
              <w:jc w:val="center"/>
            </w:pPr>
            <w:r>
              <w:rPr>
                <w:rFonts w:ascii="Malgun Gothic" w:cs="Malgun Gothic" w:eastAsia="Malgun Gothic" w:hAnsi="Malgun Gothic"/>
                <w:b/>
                <w:bCs/>
                <w:color w:val="000000"/>
                <w:sz w:val="18"/>
                <w:szCs w:val="18"/>
              </w:rPr>
              <w:t xml:space="preserve">73</w:t>
            </w:r>
          </w:p>
        </w:tc>
      </w:tr>
    </w:tbl>
    <w:p>
      <w:pPr>
        <w:spacing w:after="40" w:before="40"/>
      </w:pPr>
      <w:r>
        <w:rPr>
          <w:rFonts w:ascii="Malgun Gothic" w:cs="Malgun Gothic" w:eastAsia="Malgun Gothic" w:hAnsi="Malgun Gothic"/>
          <w:b w:val="false"/>
          <w:bCs w:val="false"/>
          <w:color w:val="000000"/>
          <w:sz w:val="16"/>
          <w:szCs w:val="16"/>
        </w:rPr>
        <w:t xml:space="preserve">＊전체 실적 286건 중 공적관련 73건을 발췌. 세부 내용은 「붙임」 각 건별 결과보고 문서(결재본) 참조.</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2026-07-26T14:47:47.556Z</dcterms:created>
  <dcterms:modified xsi:type="dcterms:W3CDTF">2026-07-26T14:47:47.565Z</dcterms:modified>
</cp:coreProperties>
</file>

<file path=docProps/custom.xml><?xml version="1.0" encoding="utf-8"?>
<Properties xmlns="http://schemas.openxmlformats.org/officeDocument/2006/custom-properties" xmlns:vt="http://schemas.openxmlformats.org/officeDocument/2006/docPropsVTypes"/>
</file>