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  <w:rFonts w:eastAsia="맑은 고딕" w:ascii="맑은 고딕" w:hAnsi="맑은 고딕"/>
        </w:rPr>
        <w:t>가야 농장 AM 유두인식률·컵장착성공률 통계 보고 — 전체 4컵 기준</w:t>
      </w:r>
    </w:p>
    <w:p>
      <w:pPr>
        <w:jc w:val="center"/>
      </w:pPr>
      <w:r>
        <w:rPr>
          <w:i/>
          <w:color w:val="595959"/>
          <w:sz w:val="20"/>
          <w:rFonts w:eastAsia="맑은 고딕" w:ascii="맑은 고딕" w:hAnsi="맑은 고딕"/>
        </w:rPr>
        <w:t>분석기간 2026-07-01~2026-07-22(22일), 데이터: OPERATION 로그 30,329,018라인, 표본 컵 시도 13,850건</w:t>
      </w:r>
    </w:p>
    <w:p/>
    <w:p>
      <w:pPr>
        <w:pStyle w:val="Heading1"/>
      </w:pPr>
      <w:r>
        <w:rPr>
          <w:rFonts w:eastAsia="맑은 고딕" w:ascii="맑은 고딕" w:hAnsi="맑은 고딕"/>
        </w:rPr>
        <w:t>요약</w:t>
      </w:r>
    </w:p>
    <w:p>
      <w:pPr>
        <w:pStyle w:val="ListBullet"/>
      </w:pPr>
      <w:r>
        <w:rPr>
          <w:b/>
          <w:rFonts w:eastAsia="맑은 고딕" w:ascii="맑은 고딕" w:hAnsi="맑은 고딕"/>
        </w:rPr>
        <w:t>유두 인식률 (전체 4컵): 96.76% (13,401/13,850) — 목표 99% 미달</w:t>
      </w:r>
    </w:p>
    <w:p>
      <w:pPr>
        <w:pStyle w:val="ListBullet"/>
      </w:pPr>
      <w:r>
        <w:rPr>
          <w:b/>
          <w:rFonts w:eastAsia="맑은 고딕" w:ascii="맑은 고딕" w:hAnsi="맑은 고딕"/>
        </w:rPr>
        <w:t>유두 인식률 (2번컵 제외, 참고치): 99.98% (8,831/8,833)</w:t>
      </w:r>
    </w:p>
    <w:p>
      <w:pPr>
        <w:pStyle w:val="ListBullet"/>
      </w:pPr>
      <w:r>
        <w:rPr>
          <w:b/>
          <w:rFonts w:eastAsia="맑은 고딕" w:ascii="맑은 고딕" w:hAnsi="맑은 고딕"/>
        </w:rPr>
        <w:t>컵 장착 성공률 (전체 4컵, 인식성공 컵 대상): 98.29% (13,172/13,401) — 목표 98% 달성</w:t>
      </w:r>
    </w:p>
    <w:p>
      <w:pPr>
        <w:pStyle w:val="Heading1"/>
      </w:pPr>
      <w:r>
        <w:rPr>
          <w:rFonts w:eastAsia="맑은 고딕" w:ascii="맑은 고딕" w:hAnsi="맑은 고딕"/>
        </w:rPr>
        <w:t>방법론</w:t>
      </w:r>
    </w:p>
    <w:p>
      <w:pPr>
        <w:pStyle w:val="ListBullet"/>
      </w:pPr>
      <w:r>
        <w:rPr>
          <w:b w:val="0"/>
          <w:rFonts w:eastAsia="맑은 고딕" w:ascii="맑은 고딕" w:hAnsi="맑은 고딕"/>
        </w:rPr>
        <w:t>데이터: D:\Log분석\가야\유두인식분석\OPERATION\ (2026-07-01~07-22, UTF-16LE, 30,329,018라인)</w:t>
      </w:r>
    </w:p>
    <w:p>
      <w:pPr>
        <w:pStyle w:val="ListBullet"/>
      </w:pPr>
      <w:r>
        <w:rPr>
          <w:b w:val="0"/>
          <w:rFonts w:eastAsia="맑은 고딕" w:ascii="맑은 고딕" w:hAnsi="맑은 고딕"/>
        </w:rPr>
        <w:t>컵 시도 경계: "유두 장착 위치 체크" 로그, 컵번호는 m_nCurTeatNum으로 확정 (검증: 13,401건 중 불일치 2건, 0.015%)</w:t>
      </w:r>
    </w:p>
    <w:p>
      <w:pPr>
        <w:pStyle w:val="ListBullet"/>
      </w:pPr>
      <w:r>
        <w:rPr>
          <w:b w:val="0"/>
          <w:rFonts w:eastAsia="맑은 고딕" w:ascii="맑은 고딕" w:hAnsi="맑은 고딕"/>
        </w:rPr>
        <w:t>유두 인식 결과: 재시도 포함 최종 기준 — "찾기 성공" 1회 이상이면 인식 성공</w:t>
      </w:r>
    </w:p>
    <w:p>
      <w:pPr>
        <w:pStyle w:val="ListBullet"/>
      </w:pPr>
      <w:r>
        <w:rPr>
          <w:b w:val="0"/>
          <w:rFonts w:eastAsia="맑은 고딕" w:ascii="맑은 고딕" w:hAnsi="맑은 고딕"/>
        </w:rPr>
        <w:t>컵 장착 결과: 재시도(최대 4회) 포함 최종 기준, 인식 성공한 컵만 대상</w:t>
      </w:r>
    </w:p>
    <w:p>
      <w:pPr>
        <w:pStyle w:val="ListBullet"/>
      </w:pPr>
      <w:r>
        <w:rPr>
          <w:b w:val="0"/>
          <w:rFonts w:eastAsia="맑은 고딕" w:ascii="맑은 고딕" w:hAnsi="맑은 고딕"/>
        </w:rPr>
        <w:t>장착률 분모 = 인식에 성공한 컵만</w:t>
      </w:r>
    </w:p>
    <w:p>
      <w:pPr>
        <w:pStyle w:val="Heading1"/>
      </w:pPr>
      <w:r>
        <w:rPr>
          <w:rFonts w:eastAsia="맑은 고딕" w:ascii="맑은 고딕" w:hAnsi="맑은 고딕"/>
        </w:rPr>
        <w:t>컵번호별 결과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  <w:rFonts w:eastAsia="맑은 고딕" w:ascii="맑은 고딕" w:hAnsi="맑은 고딕"/>
              </w:rPr>
              <w:t>컵</w:t>
            </w:r>
          </w:p>
        </w:tc>
        <w:tc>
          <w:tcPr>
            <w:tcW w:type="dxa" w:w="1234"/>
          </w:tcPr>
          <w:p>
            <w:r/>
            <w:r>
              <w:rPr>
                <w:b/>
                <w:rFonts w:eastAsia="맑은 고딕" w:ascii="맑은 고딕" w:hAnsi="맑은 고딕"/>
              </w:rPr>
              <w:t>인식성공</w:t>
            </w:r>
          </w:p>
        </w:tc>
        <w:tc>
          <w:tcPr>
            <w:tcW w:type="dxa" w:w="1234"/>
          </w:tcPr>
          <w:p>
            <w:r/>
            <w:r>
              <w:rPr>
                <w:b/>
                <w:rFonts w:eastAsia="맑은 고딕" w:ascii="맑은 고딕" w:hAnsi="맑은 고딕"/>
              </w:rPr>
              <w:t>인식실패</w:t>
            </w:r>
          </w:p>
        </w:tc>
        <w:tc>
          <w:tcPr>
            <w:tcW w:type="dxa" w:w="1234"/>
          </w:tcPr>
          <w:p>
            <w:r/>
            <w:r>
              <w:rPr>
                <w:b/>
                <w:rFonts w:eastAsia="맑은 고딕" w:ascii="맑은 고딕" w:hAnsi="맑은 고딕"/>
              </w:rPr>
              <w:t>인식률</w:t>
            </w:r>
          </w:p>
        </w:tc>
        <w:tc>
          <w:tcPr>
            <w:tcW w:type="dxa" w:w="1234"/>
          </w:tcPr>
          <w:p>
            <w:r/>
            <w:r>
              <w:rPr>
                <w:b/>
                <w:rFonts w:eastAsia="맑은 고딕" w:ascii="맑은 고딕" w:hAnsi="맑은 고딕"/>
              </w:rPr>
              <w:t>장착성공</w:t>
            </w:r>
          </w:p>
        </w:tc>
        <w:tc>
          <w:tcPr>
            <w:tcW w:type="dxa" w:w="1234"/>
          </w:tcPr>
          <w:p>
            <w:r/>
            <w:r>
              <w:rPr>
                <w:b/>
                <w:rFonts w:eastAsia="맑은 고딕" w:ascii="맑은 고딕" w:hAnsi="맑은 고딕"/>
              </w:rPr>
              <w:t>장착실패</w:t>
            </w:r>
          </w:p>
        </w:tc>
        <w:tc>
          <w:tcPr>
            <w:tcW w:type="dxa" w:w="1234"/>
          </w:tcPr>
          <w:p>
            <w:r/>
            <w:r>
              <w:rPr>
                <w:b/>
                <w:rFonts w:eastAsia="맑은 고딕" w:ascii="맑은 고딕" w:hAnsi="맑은 고딕"/>
              </w:rPr>
              <w:t>장착률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1번(앞다리)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3,471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99.97%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3,452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19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99.45%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2번(뒷다리)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4,570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447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91.09%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4,520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50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98.91%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3번(앞다리)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2,526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99.96%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2,516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99.60%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4번(뒷다리)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2,834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100.00%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2,684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150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94.71%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  <w:rFonts w:eastAsia="맑은 고딕" w:ascii="맑은 고딕" w:hAnsi="맑은 고딕"/>
              </w:rPr>
              <w:t>합계</w:t>
            </w:r>
          </w:p>
        </w:tc>
        <w:tc>
          <w:tcPr>
            <w:tcW w:type="dxa" w:w="1234"/>
          </w:tcPr>
          <w:p>
            <w:r/>
            <w:r>
              <w:rPr>
                <w:b/>
                <w:rFonts w:eastAsia="맑은 고딕" w:ascii="맑은 고딕" w:hAnsi="맑은 고딕"/>
              </w:rPr>
              <w:t>13,401</w:t>
            </w:r>
          </w:p>
        </w:tc>
        <w:tc>
          <w:tcPr>
            <w:tcW w:type="dxa" w:w="1234"/>
          </w:tcPr>
          <w:p>
            <w:r/>
            <w:r>
              <w:rPr>
                <w:b/>
                <w:rFonts w:eastAsia="맑은 고딕" w:ascii="맑은 고딕" w:hAnsi="맑은 고딕"/>
              </w:rPr>
              <w:t>449</w:t>
            </w:r>
          </w:p>
        </w:tc>
        <w:tc>
          <w:tcPr>
            <w:tcW w:type="dxa" w:w="1234"/>
          </w:tcPr>
          <w:p>
            <w:r/>
            <w:r>
              <w:rPr>
                <w:b/>
                <w:rFonts w:eastAsia="맑은 고딕" w:ascii="맑은 고딕" w:hAnsi="맑은 고딕"/>
              </w:rPr>
              <w:t>96.76%</w:t>
            </w:r>
          </w:p>
        </w:tc>
        <w:tc>
          <w:tcPr>
            <w:tcW w:type="dxa" w:w="1234"/>
          </w:tcPr>
          <w:p>
            <w:r/>
            <w:r>
              <w:rPr>
                <w:b/>
                <w:rFonts w:eastAsia="맑은 고딕" w:ascii="맑은 고딕" w:hAnsi="맑은 고딕"/>
              </w:rPr>
              <w:t>13,172</w:t>
            </w:r>
          </w:p>
        </w:tc>
        <w:tc>
          <w:tcPr>
            <w:tcW w:type="dxa" w:w="1234"/>
          </w:tcPr>
          <w:p>
            <w:r/>
            <w:r>
              <w:rPr>
                <w:b/>
                <w:rFonts w:eastAsia="맑은 고딕" w:ascii="맑은 고딕" w:hAnsi="맑은 고딕"/>
              </w:rPr>
              <w:t>229</w:t>
            </w:r>
          </w:p>
        </w:tc>
        <w:tc>
          <w:tcPr>
            <w:tcW w:type="dxa" w:w="1234"/>
          </w:tcPr>
          <w:p>
            <w:r/>
            <w:r>
              <w:rPr>
                <w:b/>
                <w:rFonts w:eastAsia="맑은 고딕" w:ascii="맑은 고딕" w:hAnsi="맑은 고딕"/>
              </w:rPr>
              <w:t>98.29%</w:t>
            </w:r>
          </w:p>
        </w:tc>
      </w:tr>
    </w:tbl>
    <w:p/>
    <w:p>
      <w:r>
        <w:rPr>
          <w:b w:val="0"/>
          <w:i w:val="0"/>
          <w:sz w:val="21"/>
          <w:rFonts w:eastAsia="맑은 고딕" w:ascii="맑은 고딕" w:hAnsi="맑은 고딕"/>
        </w:rPr>
        <w:t>전체 인식실패 449건 중 447건(99.6%)이 2번컵 하나에 집중돼 있습니다(1·3·4번은 사실상 100%). 원인은 소의 자세에 기인한 구조적 가림입니다 — 앞젖을 먼저 장착하면 카메라 시야에서 뒷젖(2번)이 앞젖 컵·다리에 가려져 탐지가 안 되는 경우가 발생합니다. AI 인식모델 자체의 결함이라기보다 장착 순서·자세에서 오는 기하학적 가림 문제로, 1·3·4번컵의 인식률이 전부 99.96~100%인 점이 이를 뒷받침합니다.</w:t>
      </w:r>
    </w:p>
    <w:p>
      <w:pPr>
        <w:pStyle w:val="Heading1"/>
      </w:pPr>
      <w:r>
        <w:rPr>
          <w:rFonts w:eastAsia="맑은 고딕" w:ascii="맑은 고딕" w:hAnsi="맑은 고딕"/>
        </w:rPr>
        <w:t>컵별 일자별 추이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8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p_daily_recognition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  <w:sz w:val="21"/>
          <w:rFonts w:eastAsia="맑은 고딕" w:ascii="맑은 고딕" w:hAnsi="맑은 고딕"/>
        </w:rPr>
        <w:t>2번컵만 매일 낮은 수준에서 변동하고(75~99%), 1·3·4번컵은 거의 항상 100%에 가깝습니다 — 2번컵의 인식 저하가 특정 며칠에 국한된 현상이 아니라 22일 내내 지속되는 구조적 패턴임을 보여줍니다.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8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p_daily_mounting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  <w:sz w:val="21"/>
          <w:rFonts w:eastAsia="맑은 고딕" w:ascii="맑은 고딕" w:hAnsi="맑은 고딕"/>
        </w:rPr>
        <w:t>4번컵만 07/08 이후 뚜렷하게 낮아지고(최저 83.72%, 07-13), 1·2·3번컵은 22일 내내 대체로 95% 이상을 유지합니다 — §5에서 설명한 4번컵 간헐적 결함이 다른 컵과 명확히 구분되는 컵 특이적 현상임을 시각적으로 보여줍니다.</w:t>
      </w:r>
    </w:p>
    <w:p>
      <w:pPr>
        <w:pStyle w:val="Heading1"/>
      </w:pPr>
      <w:r>
        <w:rPr>
          <w:rFonts w:eastAsia="맑은 고딕" w:ascii="맑은 고딕" w:hAnsi="맑은 고딕"/>
        </w:rPr>
        <w:t>22일 추이 — 인식률·장착률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8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end_chart_4cup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eastAsia="맑은 고딕" w:ascii="맑은 고딕" w:hAnsi="맑은 고딕"/>
        </w:rPr>
        <w:t>장착률 각주 — 4번컵 간헐적 결함 추세</w:t>
      </w:r>
    </w:p>
    <w:p>
      <w:r>
        <w:rPr>
          <w:b w:val="0"/>
          <w:i w:val="0"/>
          <w:sz w:val="21"/>
          <w:rFonts w:eastAsia="맑은 고딕" w:ascii="맑은 고딕" w:hAnsi="맑은 고딕"/>
        </w:rPr>
        <w:t>일반 알람/에러 로그(POSERR, STOPREADY 등)는 07-13·07-18과 최고 성적일(07-06)의 발생 건수가 거의 동일(각 8.9만~9.4만 건)해 이상치를 뒷받침하는 근거가 되지 못했습니다 — 임의로 채택하지 않았습니다. 대신 4번컵 장착실패율에서 뚜렷하고 특이적인 패턴을 확인했습니다. 07-01~07-07은 완전 무결함(0%)이다가 07-08부터 발생하기 시작해 07-13(16.3%)·07-18(15.1%)에서 정점을 찍고 이후에도 2~5%대로 완전히 회복되지 않았습니다. 다른 3개 컵은 이 기간 내내 정상입니다.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8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p4_defect_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rFonts w:eastAsia="맑은 고딕" w:ascii="맑은 고딕" w:hAnsi="맑은 고딕"/>
              </w:rPr>
              <w:t>기준</w:t>
            </w:r>
          </w:p>
        </w:tc>
        <w:tc>
          <w:tcPr>
            <w:tcW w:type="dxa" w:w="2160"/>
          </w:tcPr>
          <w:p>
            <w:r/>
            <w:r>
              <w:rPr>
                <w:b/>
                <w:rFonts w:eastAsia="맑은 고딕" w:ascii="맑은 고딕" w:hAnsi="맑은 고딕"/>
              </w:rPr>
              <w:t>장착성공</w:t>
            </w:r>
          </w:p>
        </w:tc>
        <w:tc>
          <w:tcPr>
            <w:tcW w:type="dxa" w:w="2160"/>
          </w:tcPr>
          <w:p>
            <w:r/>
            <w:r>
              <w:rPr>
                <w:b/>
                <w:rFonts w:eastAsia="맑은 고딕" w:ascii="맑은 고딕" w:hAnsi="맑은 고딕"/>
              </w:rPr>
              <w:t>장착시도</w:t>
            </w:r>
          </w:p>
        </w:tc>
        <w:tc>
          <w:tcPr>
            <w:tcW w:type="dxa" w:w="2160"/>
          </w:tcPr>
          <w:p>
            <w:r/>
            <w:r>
              <w:rPr>
                <w:b/>
                <w:rFonts w:eastAsia="맑은 고딕" w:ascii="맑은 고딕" w:hAnsi="맑은 고딕"/>
              </w:rPr>
              <w:t>장착률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rFonts w:eastAsia="맑은 고딕" w:ascii="맑은 고딕" w:hAnsi="맑은 고딕"/>
              </w:rPr>
              <w:t>22일 전체(대표값)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rFonts w:eastAsia="맑은 고딕" w:ascii="맑은 고딕" w:hAnsi="맑은 고딕"/>
              </w:rPr>
              <w:t>13,172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rFonts w:eastAsia="맑은 고딕" w:ascii="맑은 고딕" w:hAnsi="맑은 고딕"/>
              </w:rPr>
              <w:t>13,401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rFonts w:eastAsia="맑은 고딕" w:ascii="맑은 고딕" w:hAnsi="맑은 고딕"/>
              </w:rPr>
              <w:t>98.29%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rFonts w:eastAsia="맑은 고딕" w:ascii="맑은 고딕" w:hAnsi="맑은 고딕"/>
              </w:rPr>
              <w:t>07-13·07-18 제외(참고)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rFonts w:eastAsia="맑은 고딕" w:ascii="맑은 고딕" w:hAnsi="맑은 고딕"/>
              </w:rPr>
              <w:t>12,225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rFonts w:eastAsia="맑은 고딕" w:ascii="맑은 고딕" w:hAnsi="맑은 고딕"/>
              </w:rPr>
              <w:t>12,404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rFonts w:eastAsia="맑은 고딕" w:ascii="맑은 고딕" w:hAnsi="맑은 고딕"/>
              </w:rPr>
              <w:t>98.56%</w:t>
            </w:r>
          </w:p>
        </w:tc>
      </w:tr>
    </w:tbl>
    <w:p/>
    <w:p>
      <w:r>
        <w:rPr>
          <w:b w:val="0"/>
          <w:i w:val="0"/>
          <w:sz w:val="21"/>
          <w:rFonts w:eastAsia="맑은 고딕" w:ascii="맑은 고딕" w:hAnsi="맑은 고딕"/>
        </w:rPr>
        <w:t>4번컵 결함은 07-13·07-18 이틀에 국한되지 않고 07-08부터 07-22까지 구조적으로 지속되는 추세이므로, 전체 수치(98.29%)를 대표값으로 쓰고 이 추세를 각주로 병기했습니다.</w:t>
      </w:r>
    </w:p>
    <w:p>
      <w:pPr>
        <w:pStyle w:val="Heading1"/>
      </w:pPr>
      <w:r>
        <w:rPr>
          <w:rFonts w:eastAsia="맑은 고딕" w:ascii="맑은 고딕" w:hAnsi="맑은 고딕"/>
        </w:rPr>
        <w:t>한계 및 주의사항</w:t>
      </w:r>
    </w:p>
    <w:p>
      <w:pPr>
        <w:pStyle w:val="ListBullet"/>
      </w:pPr>
      <w:r>
        <w:rPr>
          <w:b w:val="0"/>
          <w:rFonts w:eastAsia="맑은 고딕" w:ascii="맑은 고딕" w:hAnsi="맑은 고딕"/>
        </w:rPr>
        <w:t>재선정으로 조용히 폐기된 시퀀스(abandoned) 3,596건은 최종 성공/실패가 확정되지 않아 본 통계에서 제외했습니다(그중 288건은 인식엔 성공했다가 폐기됨).</w:t>
      </w:r>
    </w:p>
    <w:p>
      <w:pPr>
        <w:pStyle w:val="ListBullet"/>
      </w:pPr>
      <w:r>
        <w:rPr>
          <w:b w:val="0"/>
          <w:rFonts w:eastAsia="맑은 고딕" w:ascii="맑은 고딕" w:hAnsi="맑은 고딕"/>
        </w:rPr>
        <w:t>일반 알람/에러 로그는 최고 성적일과 발생량이 유사해 이상치 근거로 채택하지 않았습니다.</w:t>
      </w:r>
    </w:p>
    <w:p>
      <w:pPr>
        <w:pStyle w:val="Heading1"/>
      </w:pPr>
      <w:r>
        <w:rPr>
          <w:rFonts w:eastAsia="맑은 고딕" w:ascii="맑은 고딕" w:hAnsi="맑은 고딕"/>
        </w:rPr>
        <w:t>일자별 원자료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  <w:r>
              <w:rPr>
                <w:b/>
                <w:rFonts w:eastAsia="맑은 고딕" w:ascii="맑은 고딕" w:hAnsi="맑은 고딕"/>
              </w:rPr>
              <w:t>날짜</w:t>
            </w:r>
          </w:p>
        </w:tc>
        <w:tc>
          <w:tcPr>
            <w:tcW w:type="dxa" w:w="1080"/>
          </w:tcPr>
          <w:p>
            <w:r/>
            <w:r>
              <w:rPr>
                <w:b/>
                <w:rFonts w:eastAsia="맑은 고딕" w:ascii="맑은 고딕" w:hAnsi="맑은 고딕"/>
              </w:rPr>
              <w:t>인식시도</w:t>
            </w:r>
          </w:p>
        </w:tc>
        <w:tc>
          <w:tcPr>
            <w:tcW w:type="dxa" w:w="1080"/>
          </w:tcPr>
          <w:p>
            <w:r/>
            <w:r>
              <w:rPr>
                <w:b/>
                <w:rFonts w:eastAsia="맑은 고딕" w:ascii="맑은 고딕" w:hAnsi="맑은 고딕"/>
              </w:rPr>
              <w:t>인식성공</w:t>
            </w:r>
          </w:p>
        </w:tc>
        <w:tc>
          <w:tcPr>
            <w:tcW w:type="dxa" w:w="1080"/>
          </w:tcPr>
          <w:p>
            <w:r/>
            <w:r>
              <w:rPr>
                <w:b/>
                <w:rFonts w:eastAsia="맑은 고딕" w:ascii="맑은 고딕" w:hAnsi="맑은 고딕"/>
              </w:rPr>
              <w:t>인식률</w:t>
            </w:r>
          </w:p>
        </w:tc>
        <w:tc>
          <w:tcPr>
            <w:tcW w:type="dxa" w:w="1080"/>
          </w:tcPr>
          <w:p>
            <w:r/>
            <w:r>
              <w:rPr>
                <w:b/>
                <w:rFonts w:eastAsia="맑은 고딕" w:ascii="맑은 고딕" w:hAnsi="맑은 고딕"/>
              </w:rPr>
              <w:t>장착시도</w:t>
            </w:r>
          </w:p>
        </w:tc>
        <w:tc>
          <w:tcPr>
            <w:tcW w:type="dxa" w:w="1080"/>
          </w:tcPr>
          <w:p>
            <w:r/>
            <w:r>
              <w:rPr>
                <w:b/>
                <w:rFonts w:eastAsia="맑은 고딕" w:ascii="맑은 고딕" w:hAnsi="맑은 고딕"/>
              </w:rPr>
              <w:t>장착성공</w:t>
            </w:r>
          </w:p>
        </w:tc>
        <w:tc>
          <w:tcPr>
            <w:tcW w:type="dxa" w:w="1080"/>
          </w:tcPr>
          <w:p>
            <w:r/>
            <w:r>
              <w:rPr>
                <w:b/>
                <w:rFonts w:eastAsia="맑은 고딕" w:ascii="맑은 고딕" w:hAnsi="맑은 고딕"/>
              </w:rPr>
              <w:t>장착률</w:t>
            </w:r>
          </w:p>
        </w:tc>
        <w:tc>
          <w:tcPr>
            <w:tcW w:type="dxa" w:w="1080"/>
          </w:tcPr>
          <w:p>
            <w:r/>
            <w:r>
              <w:rPr>
                <w:b/>
                <w:rFonts w:eastAsia="맑은 고딕" w:ascii="맑은 고딕" w:hAnsi="맑은 고딕"/>
              </w:rPr>
              <w:t>4번컵 장착실패율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07-01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700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689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98.43%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689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678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98.40%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0.00%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07-02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706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697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98.73%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697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691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99.14%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0.00%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07-03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680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669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98.38%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669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664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99.25%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0.00%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07-04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816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777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95.22%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777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768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98.84%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0.00%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07-05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892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863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96.75%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863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849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98.38%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0.00%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07-06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901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846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93.90%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846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843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99.65%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0.00%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07-07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937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934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99.68%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934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927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99.25%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0.00%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07-08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777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744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95.75%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744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739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99.33%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2.46%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07-09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497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485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97.59%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485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480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98.97%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3.62%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07-10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494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481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97.37%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481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468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97.30%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8.73%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07-11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558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530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94.98%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530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514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96.98%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8.54%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07-12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518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506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97.68%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506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487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96.25%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11.39%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07-13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559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533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95.35%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533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504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94.56%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16.28%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07-14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503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484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96.22%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484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480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99.17%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0.84%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07-15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526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513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97.53%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513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500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97.47%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9.63%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07-16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561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519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92.51%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519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514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99.04%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4.13%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07-17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589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565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95.93%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565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552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97.70%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8.11%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07-18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476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464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97.48%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464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443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95.47%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15.11%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07-19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417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415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99.52%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415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410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98.80%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2.83%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07-20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539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512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94.99%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512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503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98.24%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5.47%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07-21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481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475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98.75%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475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470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98.95%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3.23%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07-22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723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700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96.82%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700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688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98.29%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3.82%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/>
                <w:rFonts w:eastAsia="맑은 고딕" w:ascii="맑은 고딕" w:hAnsi="맑은 고딕"/>
              </w:rPr>
              <w:t>합계</w:t>
            </w:r>
          </w:p>
        </w:tc>
        <w:tc>
          <w:tcPr>
            <w:tcW w:type="dxa" w:w="1080"/>
          </w:tcPr>
          <w:p>
            <w:r/>
            <w:r>
              <w:rPr>
                <w:b/>
                <w:rFonts w:eastAsia="맑은 고딕" w:ascii="맑은 고딕" w:hAnsi="맑은 고딕"/>
              </w:rPr>
              <w:t>13,850</w:t>
            </w:r>
          </w:p>
        </w:tc>
        <w:tc>
          <w:tcPr>
            <w:tcW w:type="dxa" w:w="1080"/>
          </w:tcPr>
          <w:p>
            <w:r/>
            <w:r>
              <w:rPr>
                <w:b/>
                <w:rFonts w:eastAsia="맑은 고딕" w:ascii="맑은 고딕" w:hAnsi="맑은 고딕"/>
              </w:rPr>
              <w:t>13,401</w:t>
            </w:r>
          </w:p>
        </w:tc>
        <w:tc>
          <w:tcPr>
            <w:tcW w:type="dxa" w:w="1080"/>
          </w:tcPr>
          <w:p>
            <w:r/>
            <w:r>
              <w:rPr>
                <w:b/>
                <w:rFonts w:eastAsia="맑은 고딕" w:ascii="맑은 고딕" w:hAnsi="맑은 고딕"/>
              </w:rPr>
              <w:t>96.76%</w:t>
            </w:r>
          </w:p>
        </w:tc>
        <w:tc>
          <w:tcPr>
            <w:tcW w:type="dxa" w:w="1080"/>
          </w:tcPr>
          <w:p>
            <w:r/>
            <w:r>
              <w:rPr>
                <w:b/>
                <w:rFonts w:eastAsia="맑은 고딕" w:ascii="맑은 고딕" w:hAnsi="맑은 고딕"/>
              </w:rPr>
              <w:t>13,401</w:t>
            </w:r>
          </w:p>
        </w:tc>
        <w:tc>
          <w:tcPr>
            <w:tcW w:type="dxa" w:w="1080"/>
          </w:tcPr>
          <w:p>
            <w:r/>
            <w:r>
              <w:rPr>
                <w:b/>
                <w:rFonts w:eastAsia="맑은 고딕" w:ascii="맑은 고딕" w:hAnsi="맑은 고딕"/>
              </w:rPr>
              <w:t>13,172</w:t>
            </w:r>
          </w:p>
        </w:tc>
        <w:tc>
          <w:tcPr>
            <w:tcW w:type="dxa" w:w="1080"/>
          </w:tcPr>
          <w:p>
            <w:r/>
            <w:r>
              <w:rPr>
                <w:b/>
                <w:rFonts w:eastAsia="맑은 고딕" w:ascii="맑은 고딕" w:hAnsi="맑은 고딕"/>
              </w:rPr>
              <w:t>98.29%</w:t>
            </w:r>
          </w:p>
        </w:tc>
        <w:tc>
          <w:tcPr>
            <w:tcW w:type="dxa" w:w="1080"/>
          </w:tcPr>
          <w:p>
            <w:r/>
            <w:r>
              <w:rPr>
                <w:b/>
                <w:rFonts w:eastAsia="맑은 고딕" w:ascii="맑은 고딕" w:hAnsi="맑은 고딕"/>
              </w:rPr>
              <w:t>—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