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  <w:rFonts w:eastAsia="맑은 고딕" w:ascii="맑은 고딕" w:hAnsi="맑은 고딕"/>
        </w:rPr>
        <w:t>무힌스키 2호기 AM 유두인식률·컵장착성공률 통계 보고 — 전체 4컵 기준</w:t>
      </w:r>
    </w:p>
    <w:p>
      <w:pPr>
        <w:jc w:val="center"/>
      </w:pPr>
      <w:r>
        <w:rPr>
          <w:i/>
          <w:color w:val="595959"/>
          <w:sz w:val="20"/>
          <w:rFonts w:eastAsia="맑은 고딕" w:ascii="맑은 고딕" w:hAnsi="맑은 고딕"/>
        </w:rPr>
        <w:t>분석기간 2026-07-15~2026-07-24(10일), 데이터: Operation 로그(로봇1과 동일 로그 포맷 검증됨), 표본 컵 시도 6,692건</w:t>
      </w:r>
    </w:p>
    <w:p/>
    <w:p>
      <w:pPr>
        <w:pStyle w:val="Heading1"/>
      </w:pPr>
      <w:r>
        <w:rPr>
          <w:rFonts w:eastAsia="맑은 고딕" w:ascii="맑은 고딕" w:hAnsi="맑은 고딕"/>
        </w:rPr>
        <w:t>요약</w:t>
      </w:r>
    </w:p>
    <w:p>
      <w:pPr>
        <w:pStyle w:val="ListBullet"/>
      </w:pPr>
      <w:r>
        <w:rPr>
          <w:b/>
          <w:rFonts w:eastAsia="맑은 고딕" w:ascii="맑은 고딕" w:hAnsi="맑은 고딕"/>
        </w:rPr>
        <w:t>유두 인식률: 98.34% (6,581/6,692) — 목표 99% 미달</w:t>
      </w:r>
    </w:p>
    <w:p>
      <w:pPr>
        <w:pStyle w:val="ListBullet"/>
      </w:pPr>
      <w:r>
        <w:rPr>
          <w:b/>
          <w:rFonts w:eastAsia="맑은 고딕" w:ascii="맑은 고딕" w:hAnsi="맑은 고딕"/>
        </w:rPr>
        <w:t>컵 장착 성공률: 99.30% (6,535/6,581) — 목표 98% 달성</w:t>
      </w:r>
    </w:p>
    <w:p>
      <w:pPr>
        <w:pStyle w:val="Heading1"/>
      </w:pPr>
      <w:r>
        <w:rPr>
          <w:rFonts w:eastAsia="맑은 고딕" w:ascii="맑은 고딕" w:hAnsi="맑은 고딕"/>
        </w:rPr>
        <w:t>방법론</w:t>
      </w:r>
    </w:p>
    <w:p>
      <w:pPr>
        <w:pStyle w:val="ListBullet"/>
      </w:pPr>
      <w:r>
        <w:rPr>
          <w:b w:val="0"/>
          <w:rFonts w:eastAsia="맑은 고딕" w:ascii="맑은 고딕" w:hAnsi="맑은 고딕"/>
        </w:rPr>
        <w:t>데이터: D:\Log분석\무힌스키\2\유두인식률,장착률통계\OPERATION\ (2026-07-15~07-24, UTF-16LE)</w:t>
      </w:r>
    </w:p>
    <w:p>
      <w:pPr>
        <w:pStyle w:val="ListBullet"/>
      </w:pPr>
      <w:r>
        <w:rPr>
          <w:b w:val="0"/>
          <w:rFonts w:eastAsia="맑은 고딕" w:ascii="맑은 고딕" w:hAnsi="맑은 고딕"/>
        </w:rPr>
        <w:t>컵 시도 경계: "유두 장착 위치 체크" 로그, 컵번호는 m_nCurTeatNum으로 확정 (검증: 6,581건 중 불일치 0건, 애매 1건)</w:t>
      </w:r>
    </w:p>
    <w:p>
      <w:pPr>
        <w:pStyle w:val="ListBullet"/>
      </w:pPr>
      <w:r>
        <w:rPr>
          <w:b w:val="0"/>
          <w:rFonts w:eastAsia="맑은 고딕" w:ascii="맑은 고딕" w:hAnsi="맑은 고딕"/>
        </w:rPr>
        <w:t>유두 인식 결과: 재시도 포함 최종 기준</w:t>
      </w:r>
    </w:p>
    <w:p>
      <w:pPr>
        <w:pStyle w:val="ListBullet"/>
      </w:pPr>
      <w:r>
        <w:rPr>
          <w:b w:val="0"/>
          <w:rFonts w:eastAsia="맑은 고딕" w:ascii="맑은 고딕" w:hAnsi="맑은 고딕"/>
        </w:rPr>
        <w:t>컵 장착 결과: 재시도(최대 4회) 포함 최종 기준, 인식 성공한 컵만 대상</w:t>
      </w:r>
    </w:p>
    <w:p>
      <w:pPr>
        <w:pStyle w:val="ListBullet"/>
      </w:pPr>
      <w:r>
        <w:rPr>
          <w:b w:val="0"/>
          <w:rFonts w:eastAsia="맑은 고딕" w:ascii="맑은 고딕" w:hAnsi="맑은 고딕"/>
        </w:rPr>
        <w:t>로봇1과 동일한 로그 포맷(같은 AutoMilking_K2 코드베이스, 폴더 구조만 상이)임을 사전 대조 검증했습니다.</w:t>
      </w:r>
    </w:p>
    <w:p>
      <w:pPr>
        <w:pStyle w:val="Heading1"/>
      </w:pPr>
      <w:r>
        <w:rPr>
          <w:rFonts w:eastAsia="맑은 고딕" w:ascii="맑은 고딕" w:hAnsi="맑은 고딕"/>
        </w:rPr>
        <w:t>컵번호별 결과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컵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인식성공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인식실패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인식률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장착성공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장착실패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장착률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1번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1,819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100.00%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1,805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99.23%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2번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1,397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111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92.64%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1,382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98.93%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3번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1,892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100.00%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1,879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99.31%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4번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1,473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100.00%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1,469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99.73%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합계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6,581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111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98.34%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6,535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46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99.30%</w:t>
            </w:r>
          </w:p>
        </w:tc>
      </w:tr>
    </w:tbl>
    <w:p/>
    <w:p>
      <w:r>
        <w:rPr>
          <w:b w:val="0"/>
          <w:i w:val="0"/>
          <w:sz w:val="21"/>
          <w:rFonts w:eastAsia="맑은 고딕" w:ascii="맑은 고딕" w:hAnsi="맑은 고딕"/>
        </w:rPr>
        <w:t>인식실패 111건 전부가 2번컵에 집중되어 있습니다(111/111, 100%). 로봇1·가야 농장에서 확인된 뒷다리 유두(2번) 가림 현상이 이 로봇에서도 재현됩니다.</w:t>
      </w:r>
    </w:p>
    <w:p>
      <w:r>
        <w:rPr>
          <w:b w:val="0"/>
          <w:i w:val="0"/>
          <w:sz w:val="21"/>
          <w:rFonts w:eastAsia="맑은 고딕" w:ascii="맑은 고딕" w:hAnsi="맑은 고딕"/>
        </w:rPr>
        <w:t>장착실패는 로봇1(3번컵에 63.0% 편중)과 달리 1·2·3번컵에 고르게 분포합니다(14·15·13·4건, 최대 편중 컵도 32.6%에 그침) — 특정 컵에 집중된 패턴은 관찰되지 않아 별도 컵 상세분석 섹션은 구성하지 않았습니다.</w:t>
      </w:r>
    </w:p>
    <w:p>
      <w:pPr>
        <w:pStyle w:val="Heading1"/>
      </w:pPr>
      <w:r>
        <w:rPr>
          <w:rFonts w:eastAsia="맑은 고딕" w:ascii="맑은 고딕" w:hAnsi="맑은 고딕"/>
        </w:rPr>
        <w:t>07-22 로봇 고장구간 분석</w:t>
      </w:r>
    </w:p>
    <w:p>
      <w:r>
        <w:rPr>
          <w:b w:val="0"/>
          <w:i w:val="0"/>
          <w:sz w:val="21"/>
          <w:rFonts w:eastAsia="맑은 고딕" w:ascii="맑은 고딕" w:hAnsi="맑은 고딕"/>
        </w:rPr>
        <w:t>사용자 제보: 2026-07-22 08시~11시경 로봇2에 고장이 있었습니다. 이 구간(08:00~11:00 (3시간))에 실제 로그 흔적이 있는지 시간대별 컵 시도 건수, outcome 분포, 알람/에러 로그 매칭 건수, 연속 시퀀스 간 공백(무가동 구간)을 관찰했습니다.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hinski2_0722_hourly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 w:val="0"/>
          <w:rFonts w:eastAsia="맑은 고딕" w:ascii="맑은 고딕" w:hAnsi="맑은 고딕"/>
        </w:rPr>
        <w:t>08~11시(3시간) 컵 시도 건수는 시간당 28~34건으로, 같은 날 다른 시간대(예: 07시 56건, 20시 37건)와 비교해 뚜렷이 줄어들지 않았습니다. 오히려 같은 날 12~13시(9건·10건)가 하루 중 가장 적었습니다.</w:t>
      </w:r>
    </w:p>
    <w:p>
      <w:pPr>
        <w:pStyle w:val="ListBullet"/>
      </w:pPr>
      <w:r>
        <w:rPr>
          <w:b w:val="0"/>
          <w:rFonts w:eastAsia="맑은 고딕" w:ascii="맑은 고딕" w:hAnsi="맑은 고딕"/>
        </w:rPr>
        <w:t>연속 시퀀스 사이 최대 공백은 12:15:13~13:44:19(89.1분)로, 이 구간은 제보된 08~11시 고장구간 밖(정오~오후1시대)입니다. 08~11시 구간 내 최대 공백은 08:36:01~08:57:13(21.2분)로 하루 중 다른 시간대의 공백(예: 06:34~06:57 22.8분, 14:49~15:12 23.7분)과 비슷한 수준입니다.</w:t>
      </w:r>
    </w:p>
    <w:p>
      <w:pPr>
        <w:pStyle w:val="ListBullet"/>
      </w:pPr>
      <w:r>
        <w:rPr>
          <w:b w:val="0"/>
          <w:rFonts w:eastAsia="맑은 고딕" w:ascii="맑은 고딕" w:hAnsi="맑은 고딕"/>
        </w:rPr>
        <w:t>07-22 전체 장착 실패는 0건(669/669, 100%)이었고, 08~11시 구간 안에서도 장착 실패는 없었습니다.</w:t>
      </w:r>
    </w:p>
    <w:p>
      <w:pPr>
        <w:pStyle w:val="ListBullet"/>
      </w:pPr>
      <w:r>
        <w:rPr>
          <w:b w:val="0"/>
          <w:rFonts w:eastAsia="맑은 고딕" w:ascii="맑은 고딕" w:hAnsi="맑은 고딕"/>
        </w:rPr>
        <w:t>알람/에러 로그 매칭 건수는 08~11시 시간당 4,841~7,059건으로, 다른 시간대(예: 07시 8,072건, 17시 7,885건)와 자릿수·규모가 유사했고, 매칭 예시는 eRobotError_WARNNING_POSERR / STOPREADY 등 상시 발생하는 경고성 로그였습니다.</w:t>
      </w:r>
    </w:p>
    <w:p>
      <w:r>
        <w:rPr>
          <w:b w:val="0"/>
          <w:i w:val="0"/>
          <w:sz w:val="21"/>
          <w:rFonts w:eastAsia="맑은 고딕" w:ascii="맑은 고딕" w:hAnsi="맑은 고딕"/>
        </w:rPr>
        <w:t>종합하면, 이번 파싱 기준(컵 시도 경계·장착 성공/실패 판정)으로는 08~11시 구간에서 시도 감소·실패 집중·알람 급증 중 어느 신호도 뚜렷하게 확인되지 않았습니다. 사용자가 제보한 고장 사실 자체를 부정하는 것은 아니며, 이 파싱 로직이 포착하는 지표(컵 시도/인식/장착) 범위 밖의 고장(예: 짧은 정지, 다른 서브시스템 문제)이었을 가능성을 배제하지 않습니다.</w:t>
      </w:r>
    </w:p>
    <w:p/>
    <w:p>
      <w:r>
        <w:rPr>
          <w:b/>
          <w:i w:val="0"/>
          <w:sz w:val="21"/>
          <w:rFonts w:eastAsia="맑은 고딕" w:ascii="맑은 고딕" w:hAnsi="맑은 고딕"/>
        </w:rPr>
        <w:t>포함/제외 수치 비교 (가야 농장 이상치 처리와 동일한 방식 — 임의로 하나만 선택하지 않고 둘 다 병기)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기준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컵시도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인식성공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인식률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장착시도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장착성공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장착률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07-22 하루 — 08~11시 포함(전체)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679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669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98.53%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669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669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100.00%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07-22 하루 — 08~11시 제외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592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583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98.48%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583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583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100.00%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10일 합산 — 08~11시 포함(대표값)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6,692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6,581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98.34%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6,581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6,535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99.30%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10일 합산 — 08~11시 제외(참고)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6,605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6,495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98.33%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6,495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6,449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99.29%</w:t>
            </w:r>
          </w:p>
        </w:tc>
      </w:tr>
    </w:tbl>
    <w:p/>
    <w:p>
      <w:r>
        <w:rPr>
          <w:b w:val="0"/>
          <w:i w:val="0"/>
          <w:sz w:val="21"/>
          <w:rFonts w:eastAsia="맑은 고딕" w:ascii="맑은 고딕" w:hAnsi="맑은 고딕"/>
        </w:rPr>
        <w:t>08~11시 구간에서 컵시도 87건이 제외되며, 포함/제외 간 인식률·장착률 차이는 0.01~0.05%p 수준으로 사실상 무시할 만한 크기입니다. 위에서 관찰했듯 이 구간의 장착 실패가 0건이었기 때문에, 제외해도 대표값이 사실상 달라지지 않습니다. 대표값은 10일 합산 전체 (인식 98.34%, 장착 99.30%)를 사용합니다.</w:t>
      </w:r>
    </w:p>
    <w:p>
      <w:pPr>
        <w:pStyle w:val="Heading1"/>
      </w:pPr>
      <w:r>
        <w:rPr>
          <w:rFonts w:eastAsia="맑은 고딕" w:ascii="맑은 고딕" w:hAnsi="맑은 고딕"/>
        </w:rPr>
        <w:t>10일 추이 — 인식률·장착률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hinski2_trend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  <w:sz w:val="21"/>
          <w:rFonts w:eastAsia="맑은 고딕" w:ascii="맑은 고딕" w:hAnsi="맑은 고딕"/>
        </w:rPr>
        <w:t>통계적 이상치(평균-2σ 미만) 확인 결과: 인식률은 07-23(96.63%, 평균 98.35%), 장착률은 07-17(97.79%, 평균 99.28%)이 각각 해당됩니다(차트에 빨간 마커로 표시).</w:t>
      </w:r>
    </w:p>
    <w:p>
      <w:pPr>
        <w:pStyle w:val="Heading1"/>
      </w:pPr>
      <w:r>
        <w:rPr>
          <w:rFonts w:eastAsia="맑은 고딕" w:ascii="맑은 고딕" w:hAnsi="맑은 고딕"/>
        </w:rPr>
        <w:t>한계 및 주의사항</w:t>
      </w:r>
    </w:p>
    <w:p>
      <w:pPr>
        <w:pStyle w:val="ListBullet"/>
      </w:pPr>
      <w:r>
        <w:rPr>
          <w:b w:val="0"/>
          <w:rFonts w:eastAsia="맑은 고딕" w:ascii="맑은 고딕" w:hAnsi="맑은 고딕"/>
        </w:rPr>
        <w:t>재선정으로 조용히 폐기된 시퀀스(abandoned) 및 애매(EOF 미종료) 케이스는 최종 성공/실패가 확정되지 않아 본 통계에서 제외했습니다.</w:t>
      </w:r>
    </w:p>
    <w:p>
      <w:pPr>
        <w:pStyle w:val="ListBullet"/>
      </w:pPr>
      <w:r>
        <w:rPr>
          <w:b w:val="0"/>
          <w:rFonts w:eastAsia="맑은 고딕" w:ascii="맑은 고딕" w:hAnsi="맑은 고딕"/>
        </w:rPr>
        <w:t>07-22 08~11시 고장구간 분석은 이 파싱 로직이 포착하는 지표(컵 시도/인식/장착 시퀀스, 알람 키워드 매칭) 범위 내 관찰이며, 그 범위 밖의 고장 신호는 이 로그 파싱만으로는 확인할 수 없습니다.</w:t>
      </w:r>
    </w:p>
    <w:p>
      <w:pPr>
        <w:pStyle w:val="ListBullet"/>
      </w:pPr>
      <w:r>
        <w:rPr>
          <w:b w:val="0"/>
          <w:rFonts w:eastAsia="맑은 고딕" w:ascii="맑은 고딕" w:hAnsi="맑은 고딕"/>
        </w:rPr>
        <w:t>타임스탬프 역행(파일 이어붙이기 순서 문제로 추정) 경고가 07-15·07-17에 각 1건 발생했으나 발생 시퀀스 자체의 판정 로직에는 영향이 없습니다.</w:t>
      </w:r>
    </w:p>
    <w:p>
      <w:pPr>
        <w:pStyle w:val="Heading1"/>
      </w:pPr>
      <w:r>
        <w:rPr>
          <w:rFonts w:eastAsia="맑은 고딕" w:ascii="맑은 고딕" w:hAnsi="맑은 고딕"/>
        </w:rPr>
        <w:t>일자별 원자료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날짜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인식시도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인식성공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인식률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장착시도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장착성공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장착률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07-15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679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661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97.35%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661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657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99.39%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07-16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653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644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98.62%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644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642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99.69%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07-17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601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588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97.84%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588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575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97.79%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07-18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478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474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99.16%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474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471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99.37%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07-19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737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728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98.78%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728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726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99.73%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07-20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824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817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99.15%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817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812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99.39%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07-21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671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662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98.66%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662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659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99.55%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07-22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679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669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98.53%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669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669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100.00%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07-23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712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688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96.63%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688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677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98.40%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07-24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658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650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98.78%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650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647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rFonts w:eastAsia="맑은 고딕" w:ascii="맑은 고딕" w:hAnsi="맑은 고딕"/>
              </w:rPr>
              <w:t>99.54%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합계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6,692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6,581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98.34%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6,581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6,535</w:t>
            </w:r>
          </w:p>
        </w:tc>
        <w:tc>
          <w:tcPr>
            <w:tcW w:type="dxa" w:w="1234"/>
          </w:tcPr>
          <w:p>
            <w:r/>
            <w:r>
              <w:rPr>
                <w:b/>
                <w:rFonts w:eastAsia="맑은 고딕" w:ascii="맑은 고딕" w:hAnsi="맑은 고딕"/>
              </w:rPr>
              <w:t>99.30%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