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1"/>
      </w:pPr>
      <w:r>
        <w:t xml:space="preserve">Research Methodology: Quantization and Pruning Trade-offs for Embedded CNN Inference</w:t>
      </w:r>
    </w:p>
    <w:p>
      <w:pPr>
        <w:pStyle w:val="2"/>
      </w:pPr>
      <w:r>
        <w:t xml:space="preserve">1. Research Problem and Questions</w:t>
      </w:r>
    </w:p>
    <w:p>
      <w:r>
        <w:t xml:space="preserve">The literature review shows that quantization and pruning reduce energy and memory in embedded CNN inference, but the evidence cannot be compared across studies. Papers use different datasets, platforms and metrics, and many report energy or latency gains without a rigorous account of the accuracy lost (Peccia et al., 2024; Laguduva et al., 2020; Chung et al., 2025; Jiang et al., 2020). Many studies also judge efficiency by hardware-agnostic proxies such as operation counts, which may not reflect behaviour on real devices (Yang et al., 2017; Choi &amp; Sobelman, 2022).</w:t>
      </w:r>
    </w:p>
    <w:p>
      <w:r>
        <w:t xml:space="preserve">This study closes that gap with a small, controlled comparison under one fixed protocol on a real microcontroller. It deliberately limits itself to techniques that standard microcontroller toolchains run natively, so every configuration can be measured on real hardware rather than simulated.</w:t>
      </w:r>
    </w:p>
    <w:p>
      <w:r>
        <w:rPr>
          <w:b/>
        </w:rPr>
        <w:t xml:space="preserve">Main research question.</w:t>
      </w:r>
      <w:r>
        <w:t xml:space="preserve"> Which combination of structured pruning and 8-bit quantization gives the best accuracy-energy-latency trade-off for CNN inference on an STM32 microcontroller?</w:t>
      </w:r>
    </w:p>
    <w:p>
      <w:r>
        <w:t xml:space="preserve">“Best” is defined by a rule fixed before the experiments: the configuration with the lowest energy per inference whose top-1 accuracy stays within 1 percentage point of the 32-bit baseline. The full Pareto front is reported alongside it.</w:t>
      </w:r>
    </w:p>
    <w:p>
      <w:r>
        <w:rPr>
          <w:b/>
        </w:rPr>
        <w:t xml:space="preserve">Sub-questions.</w:t>
      </w:r>
    </w:p>
    <w:p>
      <w:pPr>
        <w:pStyle w:val="a4"/>
        <w:numPr>
          <w:ilvl w:val="0"/>
          <w:numId w:val="2"/>
        </w:numPr>
      </w:pPr>
      <w:r>
        <w:t xml:space="preserve">How does the structured pruning ratio affect accuracy, latency, energy and memory?</w:t>
      </w:r>
    </w:p>
    <w:p>
      <w:pPr>
        <w:pStyle w:val="a4"/>
        <w:numPr>
          <w:ilvl w:val="0"/>
          <w:numId w:val="2"/>
        </w:numPr>
      </w:pPr>
      <w:r>
        <w:t xml:space="preserve">Does combining pruning with 8-bit quantization outperform either technique alone?</w:t>
      </w:r>
    </w:p>
    <w:p>
      <w:pPr>
        <w:pStyle w:val="a4"/>
        <w:numPr>
          <w:ilvl w:val="0"/>
          <w:numId w:val="2"/>
        </w:numPr>
      </w:pPr>
      <w:r>
        <w:t xml:space="preserve">Does quantization-aware training (QAT) recover the accuracy that post-training quantization (PTQ) loses, and does the difference grow with pruning?</w:t>
      </w:r>
    </w:p>
    <w:p>
      <w:pPr>
        <w:pStyle w:val="a4"/>
        <w:numPr>
          <w:ilvl w:val="0"/>
          <w:numId w:val="2"/>
        </w:numPr>
      </w:pPr>
      <w:r>
        <w:t xml:space="preserve">Do hardware-agnostic proxies (MAC count, parameter count) predict measured latency and energy?</w:t>
      </w:r>
    </w:p>
    <w:p>
      <w:r>
        <w:rPr>
          <w:b/>
        </w:rPr>
        <w:t xml:space="preserve">Hypotheses.</w:t>
      </w:r>
    </w:p>
    <w:p>
      <w:pPr>
        <w:pStyle w:val="a4"/>
        <w:numPr>
          <w:ilvl w:val="0"/>
          <w:numId w:val="3"/>
        </w:numPr>
      </w:pPr>
      <w:r>
        <w:t xml:space="preserve">H1: Pruning combined with int8 quantization dominates either technique alone on the accuracy-energy Pareto front (Han et al., 2016).</w:t>
      </w:r>
    </w:p>
    <w:p>
      <w:pPr>
        <w:pStyle w:val="a4"/>
        <w:numPr>
          <w:ilvl w:val="0"/>
          <w:numId w:val="3"/>
        </w:numPr>
      </w:pPr>
      <w:r>
        <w:t xml:space="preserve">H2: QAT loses less accuracy than PTQ, and the difference grows as more channels are pruned. The review attributes conflicting accuracy reports partly to this difference (Choi &amp; Sobelman, 2022; Chung et al., 2025).</w:t>
      </w:r>
    </w:p>
    <w:p>
      <w:pPr>
        <w:pStyle w:val="a4"/>
        <w:numPr>
          <w:ilvl w:val="0"/>
          <w:numId w:val="3"/>
        </w:numPr>
      </w:pPr>
      <w:r>
        <w:t xml:space="preserve">H3: MAC count preserves the ranking of configurations by measured latency and energy (Spearman ρ ≥ 0.8). If it does not, proxy-based comparisons in prior work are unreliable.</w:t>
      </w:r>
    </w:p>
    <w:p>
      <w:pPr>
        <w:pStyle w:val="2"/>
      </w:pPr>
      <w:r>
        <w:t xml:space="preserve">2. Research Design and Scope</w:t>
      </w:r>
    </w:p>
    <w:p>
      <w:r>
        <w:t xml:space="preserve">The study is a quantitative, controlled experimental comparison. Each configuration changes only the compression settings; the model, data, training recipe, hardware and measurement method stay fixed.</w:t>
      </w:r>
    </w:p>
    <w:p>
      <w:r>
        <w:rPr>
          <w:b/>
        </w:rPr>
        <w:t xml:space="preserve">Assumptions to adjust.</w:t>
      </w:r>
      <w:r>
        <w:t xml:space="preserve"> The choices below keep the study feasible for one researcher in about three months without buying hardware. Change them to fit your situation.</w:t>
      </w:r>
    </w:p>
    <w:p>
      <w:pPr>
        <w:pStyle w:val="a4"/>
        <w:numPr>
          <w:ilvl w:val="0"/>
          <w:numId w:val="3"/>
        </w:numPr>
      </w:pPr>
      <w:r>
        <w:t xml:space="preserve">Task: image classification only.</w:t>
      </w:r>
    </w:p>
    <w:p>
      <w:pPr>
        <w:pStyle w:val="a4"/>
        <w:numPr>
          <w:ilvl w:val="0"/>
          <w:numId w:val="3"/>
        </w:numPr>
      </w:pPr>
      <w:r>
        <w:t xml:space="preserve">Platform: one STM32 board, benchmarked remotely through the ST Edge AI Developer Cloud board farm.</w:t>
      </w:r>
    </w:p>
    <w:p>
      <w:pPr>
        <w:pStyle w:val="a4"/>
        <w:numPr>
          <w:ilvl w:val="0"/>
          <w:numId w:val="3"/>
        </w:numPr>
      </w:pPr>
      <w:r>
        <w:t xml:space="preserve">Compute: a free cloud GPU (for example Google Colab) or a laptop GPU.</w:t>
      </w:r>
    </w:p>
    <w:p>
      <w:r>
        <w:rPr>
          <w:b/>
        </w:rPr>
        <w:t xml:space="preserve">Out of scope.</w:t>
      </w:r>
      <w:r>
        <w:t xml:space="preserve"> Sub-8-bit and mixed-precision quantization, unstructured pruning, analytical accelerator models, FPGA, ASIC and RISC-V platforms, on-device training and Transformer models. Most of these need custom kernels or hardware that standard microcontroller toolchains do not support; they are named as future work.</w:t>
      </w:r>
    </w:p>
    <w:p>
      <w:pPr>
        <w:pStyle w:val="2"/>
      </w:pPr>
      <w:r>
        <w:t xml:space="preserve">3. Experimental Setup</w:t>
      </w:r>
    </w:p>
    <w:tbl>
      <w:tblPr>
        <w:tblStyle w:val="a8"/>
        <w:tblW w:w="0" w:type="auto"/>
        <w:tblLayout w:type="fixed"/>
        <w:tblLook w:val="0420" w:firstRow="1" w:lastRow="0" w:firstColumn="0" w:lastColumn="0" w:noHBand="0" w:noVBand="1"/>
      </w:tblPr>
      <w:tblGrid>
        <w:gridCol w:w="3120"/>
        <w:gridCol w:w="3120"/>
        <w:gridCol w:w="3120"/>
      </w:tblGrid>
      <w:tr>
        <w:trPr>
          <w:tblHeader/>
        </w:trPr>
        <w:tc>
          <w:tcPr>
            <w:tcW w:w="3120" w:type="dxa"/>
            <w:shd w:val="clear" w:color="auto" w:fill="F2F2F2"/>
          </w:tcPr>
          <w:p>
            <w:r>
              <w:t xml:space="preserve">Component</w:t>
            </w:r>
          </w:p>
        </w:tc>
        <w:tc>
          <w:tcPr>
            <w:tcW w:w="3120" w:type="dxa"/>
            <w:shd w:val="clear" w:color="auto" w:fill="F2F2F2"/>
          </w:tcPr>
          <w:p>
            <w:r>
              <w:t xml:space="preserve">Choice</w:t>
            </w:r>
          </w:p>
        </w:tc>
        <w:tc>
          <w:tcPr>
            <w:tcW w:w="3120" w:type="dxa"/>
            <w:shd w:val="clear" w:color="auto" w:fill="F2F2F2"/>
          </w:tcPr>
          <w:p>
            <w:r>
              <w:t xml:space="preserve">Reason</w:t>
            </w:r>
          </w:p>
        </w:tc>
      </w:tr>
      <w:tr>
        <w:tc>
          <w:tcPr>
            <w:tcW w:w="3120" w:type="dxa"/>
          </w:tcPr>
          <w:p>
            <w:r>
              <w:t xml:space="preserve">Model</w:t>
            </w:r>
          </w:p>
        </w:tc>
        <w:tc>
          <w:tcPr>
            <w:tcW w:w="3120" w:type="dxa"/>
          </w:tcPr>
          <w:p>
            <w:r>
              <w:t xml:space="preserve">MobileNetV2 with width multiplier 0.35 (a smaller plain CNN if it does not fit the board memory)</w:t>
            </w:r>
          </w:p>
        </w:tc>
        <w:tc>
          <w:tcPr>
            <w:tcW w:w="3120" w:type="dxa"/>
          </w:tcPr>
          <w:p>
            <w:r>
              <w:t xml:space="preserve">Compact, widely used on edge devices, and its depthwise layers are typical of embedded models</w:t>
            </w:r>
          </w:p>
        </w:tc>
      </w:tr>
      <w:tr>
        <w:tc>
          <w:tcPr>
            <w:tcW w:w="3120" w:type="dxa"/>
          </w:tcPr>
          <w:p>
            <w:r>
              <w:t xml:space="preserve">Dataset</w:t>
            </w:r>
          </w:p>
        </w:tc>
        <w:tc>
          <w:tcPr>
            <w:tcW w:w="3120" w:type="dxa"/>
          </w:tcPr>
          <w:p>
            <w:r>
              <w:t xml:space="preserve">CIFAR-10</w:t>
            </w:r>
          </w:p>
        </w:tc>
        <w:tc>
          <w:tcPr>
            <w:tcW w:w="3120" w:type="dxa"/>
          </w:tcPr>
          <w:p>
            <w:r>
              <w:t xml:space="preserve">Small, standard and quick to train on one GPU</w:t>
            </w:r>
          </w:p>
        </w:tc>
      </w:tr>
      <w:tr>
        <w:tc>
          <w:tcPr>
            <w:tcW w:w="3120" w:type="dxa"/>
          </w:tcPr>
          <w:p>
            <w:r>
              <w:t xml:space="preserve">Training framework</w:t>
            </w:r>
          </w:p>
        </w:tc>
        <w:tc>
          <w:tcPr>
            <w:tcW w:w="3120" w:type="dxa"/>
          </w:tcPr>
          <w:p>
            <w:r>
              <w:t xml:space="preserve">PyTorch</w:t>
            </w:r>
          </w:p>
        </w:tc>
        <w:tc>
          <w:tcPr>
            <w:tcW w:w="3120" w:type="dxa"/>
          </w:tcPr>
          <w:p>
            <w:r>
              <w:t xml:space="preserve">Free, widely used, large ecosystem</w:t>
            </w:r>
          </w:p>
        </w:tc>
      </w:tr>
      <w:tr>
        <w:tc>
          <w:tcPr>
            <w:tcW w:w="3120" w:type="dxa"/>
          </w:tcPr>
          <w:p>
            <w:r>
              <w:t xml:space="preserve">Pruning tool</w:t>
            </w:r>
          </w:p>
        </w:tc>
        <w:tc>
          <w:tcPr>
            <w:tcW w:w="3120" w:type="dxa"/>
          </w:tcPr>
          <w:p>
            <w:r>
              <w:t xml:space="preserve">Torch-Pruning (structured channel pruning)</w:t>
            </w:r>
          </w:p>
        </w:tc>
        <w:tc>
          <w:tcPr>
            <w:tcW w:w="3120" w:type="dxa"/>
          </w:tcPr>
          <w:p>
            <w:r>
              <w:t xml:space="preserve">Removes whole channels, so the exported model is genuinely smaller and faster without special hardware</w:t>
            </w:r>
          </w:p>
        </w:tc>
      </w:tr>
      <w:tr>
        <w:tc>
          <w:tcPr>
            <w:tcW w:w="3120" w:type="dxa"/>
          </w:tcPr>
          <w:p>
            <w:r>
              <w:t xml:space="preserve">Quantization</w:t>
            </w:r>
          </w:p>
        </w:tc>
        <w:tc>
          <w:tcPr>
            <w:tcW w:w="3120" w:type="dxa"/>
          </w:tcPr>
          <w:p>
            <w:r>
              <w:t xml:space="preserve">int8 PTQ with ONNX Runtime static quantization; int8 QAT in PyTorch</w:t>
            </w:r>
          </w:p>
        </w:tc>
        <w:tc>
          <w:tcPr>
            <w:tcW w:w="3120" w:type="dxa"/>
          </w:tcPr>
          <w:p>
            <w:r>
              <w:t xml:space="preserve">int8 is natively supported by STM32 toolchains</w:t>
            </w:r>
          </w:p>
        </w:tc>
      </w:tr>
      <w:tr>
        <w:tc>
          <w:tcPr>
            <w:tcW w:w="3120" w:type="dxa"/>
          </w:tcPr>
          <w:p>
            <w:r>
              <w:t xml:space="preserve">Export format</w:t>
            </w:r>
          </w:p>
        </w:tc>
        <w:tc>
          <w:tcPr>
            <w:tcW w:w="3120" w:type="dxa"/>
          </w:tcPr>
          <w:p>
            <w:r>
              <w:t xml:space="preserve">ONNX (QDQ format for int8 models)</w:t>
            </w:r>
          </w:p>
        </w:tc>
        <w:tc>
          <w:tcPr>
            <w:tcW w:w="3120" w:type="dxa"/>
          </w:tcPr>
          <w:p>
            <w:r>
              <w:t xml:space="preserve">Accepted directly by the ST Edge AI tools</w:t>
            </w:r>
          </w:p>
        </w:tc>
      </w:tr>
      <w:tr>
        <w:tc>
          <w:tcPr>
            <w:tcW w:w="3120" w:type="dxa"/>
          </w:tcPr>
          <w:p>
            <w:r>
              <w:t xml:space="preserve">Hardware benchmark</w:t>
            </w:r>
          </w:p>
        </w:tc>
        <w:tc>
          <w:tcPr>
            <w:tcW w:w="3120" w:type="dxa"/>
          </w:tcPr>
          <w:p>
            <w:r>
              <w:t xml:space="preserve">ST Edge AI Developer Cloud: a remote farm of real STM32 boards</w:t>
            </w:r>
          </w:p>
        </w:tc>
        <w:tc>
          <w:tcPr>
            <w:tcW w:w="3120" w:type="dxa"/>
          </w:tcPr>
          <w:p>
            <w:r>
              <w:t xml:space="preserve">Gives real inference time, Flash and RAM use without buying or programming a board</w:t>
            </w:r>
          </w:p>
        </w:tc>
      </w:tr>
      <w:tr>
        <w:tc>
          <w:tcPr>
            <w:tcW w:w="3120" w:type="dxa"/>
          </w:tcPr>
          <w:p>
            <w:r>
              <w:t xml:space="preserve">Energy</w:t>
            </w:r>
          </w:p>
        </w:tc>
        <w:tc>
          <w:tcPr>
            <w:tcW w:w="3120" w:type="dxa"/>
          </w:tcPr>
          <w:p>
            <w:r>
              <w:t xml:space="preserve">Estimated from latency and the board datasheet; optionally measured with a Nordic PPK2 power profiler on a Nucleo board</w:t>
            </w:r>
          </w:p>
        </w:tc>
        <w:tc>
          <w:tcPr>
            <w:tcW w:w="3120" w:type="dxa"/>
          </w:tcPr>
          <w:p>
            <w:r>
              <w:t xml:space="preserve">Estimate needs no hardware; measurement strengthens the result if a board is available</w:t>
            </w:r>
          </w:p>
        </w:tc>
      </w:tr>
    </w:tbl>
    <w:p/>
    <w:p>
      <w:r>
        <w:t xml:space="preserve">One board model, clock frequency and code-generation setting are chosen at the start and kept for every run. Software versions, random seeds and board settings are recorded for every run.</w:t>
      </w:r>
    </w:p>
    <w:p>
      <w:pPr>
        <w:pStyle w:val="2"/>
      </w:pPr>
      <w:r>
        <w:t xml:space="preserve">4. Variables and Experimental Matrix</w:t>
      </w:r>
    </w:p>
    <w:tbl>
      <w:tblPr>
        <w:tblStyle w:val="a8"/>
        <w:tblW w:w="0" w:type="auto"/>
        <w:tblLayout w:type="fixed"/>
        <w:tblLook w:val="0420" w:firstRow="1" w:lastRow="0" w:firstColumn="0" w:lastColumn="0" w:noHBand="0" w:noVBand="1"/>
      </w:tblPr>
      <w:tblGrid>
        <w:gridCol w:w="3120"/>
        <w:gridCol w:w="3120"/>
        <w:gridCol w:w="3120"/>
      </w:tblGrid>
      <w:tr>
        <w:trPr>
          <w:tblHeader/>
        </w:trPr>
        <w:tc>
          <w:tcPr>
            <w:tcW w:w="3120" w:type="dxa"/>
            <w:shd w:val="clear" w:color="auto" w:fill="F2F2F2"/>
          </w:tcPr>
          <w:p>
            <w:r>
              <w:t xml:space="preserve">Type</w:t>
            </w:r>
          </w:p>
        </w:tc>
        <w:tc>
          <w:tcPr>
            <w:tcW w:w="3120" w:type="dxa"/>
            <w:shd w:val="clear" w:color="auto" w:fill="F2F2F2"/>
          </w:tcPr>
          <w:p>
            <w:r>
              <w:t xml:space="preserve">Variable</w:t>
            </w:r>
          </w:p>
        </w:tc>
        <w:tc>
          <w:tcPr>
            <w:tcW w:w="3120" w:type="dxa"/>
            <w:shd w:val="clear" w:color="auto" w:fill="F2F2F2"/>
          </w:tcPr>
          <w:p>
            <w:r>
              <w:t xml:space="preserve">Levels</w:t>
            </w:r>
          </w:p>
        </w:tc>
      </w:tr>
      <w:tr>
        <w:tc>
          <w:tcPr>
            <w:tcW w:w="3120" w:type="dxa"/>
          </w:tcPr>
          <w:p>
            <w:r>
              <w:t xml:space="preserve">Independent</w:t>
            </w:r>
          </w:p>
        </w:tc>
        <w:tc>
          <w:tcPr>
            <w:tcW w:w="3120" w:type="dxa"/>
          </w:tcPr>
          <w:p>
            <w:r>
              <w:t xml:space="preserve">Quantization</w:t>
            </w:r>
          </w:p>
        </w:tc>
        <w:tc>
          <w:tcPr>
            <w:tcW w:w="3120" w:type="dxa"/>
          </w:tcPr>
          <w:p>
            <w:r>
              <w:t xml:space="preserve">32-bit float baseline, int8 PTQ, int8 QAT</w:t>
            </w:r>
          </w:p>
        </w:tc>
      </w:tr>
      <w:tr>
        <w:tc>
          <w:tcPr>
            <w:tcW w:w="3120" w:type="dxa"/>
          </w:tcPr>
          <w:p>
            <w:r>
              <w:t xml:space="preserve">Independent</w:t>
            </w:r>
          </w:p>
        </w:tc>
        <w:tc>
          <w:tcPr>
            <w:tcW w:w="3120" w:type="dxa"/>
          </w:tcPr>
          <w:p>
            <w:r>
              <w:t xml:space="preserve">Structured pruning ratio (share of channels removed in each layer)</w:t>
            </w:r>
          </w:p>
        </w:tc>
        <w:tc>
          <w:tcPr>
            <w:tcW w:w="3120" w:type="dxa"/>
          </w:tcPr>
          <w:p>
            <w:r>
              <w:t xml:space="preserve">0%, 25%, 50%, 75%</w:t>
            </w:r>
          </w:p>
        </w:tc>
      </w:tr>
      <w:tr>
        <w:tc>
          <w:tcPr>
            <w:tcW w:w="3120" w:type="dxa"/>
          </w:tcPr>
          <w:p>
            <w:r>
              <w:t xml:space="preserve">Dependent</w:t>
            </w:r>
          </w:p>
        </w:tc>
        <w:tc>
          <w:tcPr>
            <w:tcW w:w="3120" w:type="dxa"/>
          </w:tcPr>
          <w:p>
            <w:r>
              <w:t xml:space="preserve">Accuracy</w:t>
            </w:r>
          </w:p>
        </w:tc>
        <w:tc>
          <w:tcPr>
            <w:tcW w:w="3120" w:type="dxa"/>
          </w:tcPr>
          <w:p>
            <w:r>
              <w:t xml:space="preserve">Top-1 on the test set</w:t>
            </w:r>
          </w:p>
        </w:tc>
      </w:tr>
      <w:tr>
        <w:tc>
          <w:tcPr>
            <w:tcW w:w="3120" w:type="dxa"/>
          </w:tcPr>
          <w:p>
            <w:r>
              <w:t xml:space="preserve">Dependent</w:t>
            </w:r>
          </w:p>
        </w:tc>
        <w:tc>
          <w:tcPr>
            <w:tcW w:w="3120" w:type="dxa"/>
          </w:tcPr>
          <w:p>
            <w:r>
              <w:t xml:space="preserve">Latency</w:t>
            </w:r>
          </w:p>
        </w:tc>
        <w:tc>
          <w:tcPr>
            <w:tcW w:w="3120" w:type="dxa"/>
          </w:tcPr>
          <w:p>
            <w:r>
              <w:t xml:space="preserve">Time per inference on the board (ms)</w:t>
            </w:r>
          </w:p>
        </w:tc>
      </w:tr>
      <w:tr>
        <w:tc>
          <w:tcPr>
            <w:tcW w:w="3120" w:type="dxa"/>
          </w:tcPr>
          <w:p>
            <w:r>
              <w:t xml:space="preserve">Dependent</w:t>
            </w:r>
          </w:p>
        </w:tc>
        <w:tc>
          <w:tcPr>
            <w:tcW w:w="3120" w:type="dxa"/>
          </w:tcPr>
          <w:p>
            <w:r>
              <w:t xml:space="preserve">Energy</w:t>
            </w:r>
          </w:p>
        </w:tc>
        <w:tc>
          <w:tcPr>
            <w:tcW w:w="3120" w:type="dxa"/>
          </w:tcPr>
          <w:p>
            <w:r>
              <w:t xml:space="preserve">Energy per inference (mJ)</w:t>
            </w:r>
          </w:p>
        </w:tc>
      </w:tr>
      <w:tr>
        <w:tc>
          <w:tcPr>
            <w:tcW w:w="3120" w:type="dxa"/>
          </w:tcPr>
          <w:p>
            <w:r>
              <w:t xml:space="preserve">Dependent</w:t>
            </w:r>
          </w:p>
        </w:tc>
        <w:tc>
          <w:tcPr>
            <w:tcW w:w="3120" w:type="dxa"/>
          </w:tcPr>
          <w:p>
            <w:r>
              <w:t xml:space="preserve">Memory</w:t>
            </w:r>
          </w:p>
        </w:tc>
        <w:tc>
          <w:tcPr>
            <w:tcW w:w="3120" w:type="dxa"/>
          </w:tcPr>
          <w:p>
            <w:r>
              <w:t xml:space="preserve">Flash for weights and RAM for activations (KB)</w:t>
            </w:r>
          </w:p>
        </w:tc>
      </w:tr>
      <w:tr>
        <w:tc>
          <w:tcPr>
            <w:tcW w:w="3120" w:type="dxa"/>
          </w:tcPr>
          <w:p>
            <w:r>
              <w:t xml:space="preserve">Dependent</w:t>
            </w:r>
          </w:p>
        </w:tc>
        <w:tc>
          <w:tcPr>
            <w:tcW w:w="3120" w:type="dxa"/>
          </w:tcPr>
          <w:p>
            <w:r>
              <w:t xml:space="preserve">Proxy metrics</w:t>
            </w:r>
          </w:p>
        </w:tc>
        <w:tc>
          <w:tcPr>
            <w:tcW w:w="3120" w:type="dxa"/>
          </w:tcPr>
          <w:p>
            <w:r>
              <w:t xml:space="preserve">MAC count and parameter count (used for H3)</w:t>
            </w:r>
          </w:p>
        </w:tc>
      </w:tr>
      <w:tr>
        <w:tc>
          <w:tcPr>
            <w:tcW w:w="3120" w:type="dxa"/>
          </w:tcPr>
          <w:p>
            <w:r>
              <w:t xml:space="preserve">Controlled</w:t>
            </w:r>
          </w:p>
        </w:tc>
        <w:tc>
          <w:tcPr>
            <w:tcW w:w="3120" w:type="dxa"/>
          </w:tcPr>
          <w:p>
            <w:r>
              <w:t xml:space="preserve">Training recipe, optimizer, epochs, fine-tuning budget, data augmentation, input size, board, clock, code-generation setting</w:t>
            </w:r>
          </w:p>
        </w:tc>
        <w:tc>
          <w:tcPr>
            <w:tcW w:w="3120" w:type="dxa"/>
          </w:tcPr>
          <w:p>
            <w:r>
              <w:t xml:space="preserve">Fixed across all runs</w:t>
            </w:r>
          </w:p>
        </w:tc>
      </w:tr>
    </w:tbl>
    <w:p/>
    <w:p>
      <w:r>
        <w:t xml:space="preserve">The full matrix crosses 3 quantization levels with 4 pruning ratios, giving 12 configurations. Each is trained with 3 random seeds, giving 36 training runs. Because pruning removes the same share of channels in every layer, all seeds of a configuration have the same architecture, and int8 PTQ and int8 QAT models have the same graph. Only 8 distinct models (4 pruning ratios × float or int8) therefore need hardware benchmarks; PTQ and QAT differ only in accuracy, at equal cost.</w:t>
      </w:r>
    </w:p>
    <w:p>
      <w:pPr>
        <w:pStyle w:val="2"/>
      </w:pPr>
      <w:r>
        <w:t xml:space="preserve">5. Procedure</w:t>
      </w:r>
    </w:p>
    <w:p>
      <w:r>
        <w:t xml:space="preserve">The work runs in five phases. The first phase has an exit check so later results rest on a verified base.</w:t>
      </w:r>
    </w:p>
    <w:p>
      <w:pPr>
        <w:pStyle w:val="a4"/>
        <w:numPr>
          <w:ilvl w:val="0"/>
          <w:numId w:val="5"/>
        </w:numPr>
      </w:pPr>
      <w:r>
        <w:rPr>
          <w:b/>
        </w:rPr>
        <w:t xml:space="preserve">Train the baseline.</w:t>
      </w:r>
      <w:r>
        <w:t xml:space="preserve"> Train the 32-bit model with the fixed recipe and record accuracy and size. Exit check: accuracy lands within 2 percentage points of a published figure for the same model and width. If it does not, fix the pipeline before continuing.</w:t>
      </w:r>
    </w:p>
    <w:p>
      <w:pPr>
        <w:pStyle w:val="a4"/>
        <w:numPr>
          <w:ilvl w:val="0"/>
          <w:numId w:val="5"/>
        </w:numPr>
      </w:pPr>
      <w:r>
        <w:rPr>
          <w:b/>
        </w:rPr>
        <w:t xml:space="preserve">Prune.</w:t>
      </w:r>
      <w:r>
        <w:t xml:space="preserve"> For each ratio, remove the channels with the smallest L1 norm in every layer, then fine-tune with the same budget for every ratio.</w:t>
      </w:r>
    </w:p>
    <w:p>
      <w:pPr>
        <w:pStyle w:val="a4"/>
        <w:numPr>
          <w:ilvl w:val="0"/>
          <w:numId w:val="5"/>
        </w:numPr>
      </w:pPr>
      <w:r>
        <w:rPr>
          <w:b/>
        </w:rPr>
        <w:t xml:space="preserve">Quantize.</w:t>
      </w:r>
      <w:r>
        <w:t xml:space="preserve"> For PTQ, convert each pruned model to int8 with ONNX Runtime using a fixed calibration set of 500 training images. For QAT, fine-tune each pruned model with simulated int8 arithmetic for a fixed short budget, then export it. Measure accuracy on the exported ONNX model, not on the training model.</w:t>
      </w:r>
    </w:p>
    <w:p>
      <w:pPr>
        <w:pStyle w:val="a4"/>
        <w:numPr>
          <w:ilvl w:val="0"/>
          <w:numId w:val="5"/>
        </w:numPr>
      </w:pPr>
      <w:r>
        <w:rPr>
          <w:b/>
        </w:rPr>
        <w:t xml:space="preserve">Benchmark on hardware.</w:t>
      </w:r>
      <w:r>
        <w:t xml:space="preserve"> Upload each of the 8 distinct models to the ST Edge AI Developer Cloud and record latency, Flash and RAM on the chosen board.</w:t>
      </w:r>
    </w:p>
    <w:p>
      <w:pPr>
        <w:pStyle w:val="a4"/>
        <w:numPr>
          <w:ilvl w:val="0"/>
          <w:numId w:val="5"/>
        </w:numPr>
      </w:pPr>
      <w:r>
        <w:rPr>
          <w:b/>
        </w:rPr>
        <w:t xml:space="preserve">Compute energy and analyze.</w:t>
      </w:r>
      <w:r>
        <w:t xml:space="preserve"> Compute energy per inference, build the Pareto fronts and run the hypothesis tests in Section 7. Optionally, run the Pareto-optimal models on a Nucleo board with a PPK2 profiler to replace estimated energy with measured energy.</w:t>
      </w:r>
    </w:p>
    <w:p>
      <w:pPr>
        <w:pStyle w:val="2"/>
      </w:pPr>
      <w:r>
        <w:t xml:space="preserve">6. Metrics and Measurement Protocol</w:t>
      </w:r>
    </w:p>
    <w:p>
      <w:r>
        <w:t xml:space="preserve">The review found that “energy efficiency” is defined inconsistently (Sima et al., 2023; Sima et al., 2024). This study reports end-to-end values per inference only.</w:t>
      </w:r>
    </w:p>
    <w:tbl>
      <w:tblPr>
        <w:tblStyle w:val="a8"/>
        <w:tblW w:w="0" w:type="auto"/>
        <w:tblLayout w:type="fixed"/>
        <w:tblLook w:val="0420" w:firstRow="1" w:lastRow="0" w:firstColumn="0" w:lastColumn="0" w:noHBand="0" w:noVBand="1"/>
      </w:tblPr>
      <w:tblGrid>
        <w:gridCol w:w="3120"/>
        <w:gridCol w:w="3120"/>
        <w:gridCol w:w="3120"/>
      </w:tblGrid>
      <w:tr>
        <w:trPr>
          <w:tblHeader/>
        </w:trPr>
        <w:tc>
          <w:tcPr>
            <w:tcW w:w="3120" w:type="dxa"/>
            <w:shd w:val="clear" w:color="auto" w:fill="F2F2F2"/>
          </w:tcPr>
          <w:p>
            <w:r>
              <w:t xml:space="preserve">Metric</w:t>
            </w:r>
          </w:p>
        </w:tc>
        <w:tc>
          <w:tcPr>
            <w:tcW w:w="3120" w:type="dxa"/>
            <w:shd w:val="clear" w:color="auto" w:fill="F2F2F2"/>
          </w:tcPr>
          <w:p>
            <w:r>
              <w:t xml:space="preserve">Definition</w:t>
            </w:r>
          </w:p>
        </w:tc>
        <w:tc>
          <w:tcPr>
            <w:tcW w:w="3120" w:type="dxa"/>
            <w:shd w:val="clear" w:color="auto" w:fill="F2F2F2"/>
          </w:tcPr>
          <w:p>
            <w:r>
              <w:t xml:space="preserve">How measured</w:t>
            </w:r>
          </w:p>
        </w:tc>
      </w:tr>
      <w:tr>
        <w:tc>
          <w:tcPr>
            <w:tcW w:w="3120" w:type="dxa"/>
          </w:tcPr>
          <w:p>
            <w:r>
              <w:t xml:space="preserve">Accuracy</w:t>
            </w:r>
          </w:p>
        </w:tc>
        <w:tc>
          <w:tcPr>
            <w:tcW w:w="3120" w:type="dxa"/>
          </w:tcPr>
          <w:p>
            <w:r>
              <w:t xml:space="preserve">Top-1 on the held-out test set, mean and standard deviation over seeds</w:t>
            </w:r>
          </w:p>
        </w:tc>
        <w:tc>
          <w:tcPr>
            <w:tcW w:w="3120" w:type="dxa"/>
          </w:tcPr>
          <w:p>
            <w:r>
              <w:t xml:space="preserve">Evaluation script run on the exported model</w:t>
            </w:r>
          </w:p>
        </w:tc>
      </w:tr>
      <w:tr>
        <w:tc>
          <w:tcPr>
            <w:tcW w:w="3120" w:type="dxa"/>
          </w:tcPr>
          <w:p>
            <w:r>
              <w:t xml:space="preserve">Latency</w:t>
            </w:r>
          </w:p>
        </w:tc>
        <w:tc>
          <w:tcPr>
            <w:tcW w:w="3120" w:type="dxa"/>
          </w:tcPr>
          <w:p>
            <w:r>
              <w:t xml:space="preserve">Time for one full inference, from input to output</w:t>
            </w:r>
          </w:p>
        </w:tc>
        <w:tc>
          <w:tcPr>
            <w:tcW w:w="3120" w:type="dxa"/>
          </w:tcPr>
          <w:p>
            <w:r>
              <w:t xml:space="preserve">ST Edge AI Developer Cloud benchmark on the real board</w:t>
            </w:r>
          </w:p>
        </w:tc>
      </w:tr>
      <w:tr>
        <w:tc>
          <w:tcPr>
            <w:tcW w:w="3120" w:type="dxa"/>
          </w:tcPr>
          <w:p>
            <w:r>
              <w:t xml:space="preserve">Energy per inference</w:t>
            </w:r>
          </w:p>
        </w:tc>
        <w:tc>
          <w:tcPr>
            <w:tcW w:w="3120" w:type="dxa"/>
          </w:tcPr>
          <w:p>
            <w:r>
              <w:t xml:space="preserve">Supply voltage × active-mode current × latency</w:t>
            </w:r>
          </w:p>
        </w:tc>
        <w:tc>
          <w:tcPr>
            <w:tcW w:w="3120" w:type="dxa"/>
          </w:tcPr>
          <w:p>
            <w:r>
              <w:t xml:space="preserve">Voltage and current from the board datasheet at the fixed clock; optionally measured with a PPK2</w:t>
            </w:r>
          </w:p>
        </w:tc>
      </w:tr>
      <w:tr>
        <w:tc>
          <w:tcPr>
            <w:tcW w:w="3120" w:type="dxa"/>
          </w:tcPr>
          <w:p>
            <w:r>
              <w:t xml:space="preserve">Energy-delay product</w:t>
            </w:r>
          </w:p>
        </w:tc>
        <w:tc>
          <w:tcPr>
            <w:tcW w:w="3120" w:type="dxa"/>
          </w:tcPr>
          <w:p>
            <w:r>
              <w:t xml:space="preserve">Energy per inference × latency</w:t>
            </w:r>
          </w:p>
        </w:tc>
        <w:tc>
          <w:tcPr>
            <w:tcW w:w="3120" w:type="dxa"/>
          </w:tcPr>
          <w:p>
            <w:r>
              <w:t xml:space="preserve">Computed from the two values above</w:t>
            </w:r>
          </w:p>
        </w:tc>
      </w:tr>
      <w:tr>
        <w:tc>
          <w:tcPr>
            <w:tcW w:w="3120" w:type="dxa"/>
          </w:tcPr>
          <w:p>
            <w:r>
              <w:t xml:space="preserve">Memory</w:t>
            </w:r>
          </w:p>
        </w:tc>
        <w:tc>
          <w:tcPr>
            <w:tcW w:w="3120" w:type="dxa"/>
          </w:tcPr>
          <w:p>
            <w:r>
              <w:t xml:space="preserve">Flash for weights, RAM for activations</w:t>
            </w:r>
          </w:p>
        </w:tc>
        <w:tc>
          <w:tcPr>
            <w:tcW w:w="3120" w:type="dxa"/>
          </w:tcPr>
          <w:p>
            <w:r>
              <w:t xml:space="preserve">ST Edge AI tool report</w:t>
            </w:r>
          </w:p>
        </w:tc>
      </w:tr>
      <w:tr>
        <w:tc>
          <w:tcPr>
            <w:tcW w:w="3120" w:type="dxa"/>
          </w:tcPr>
          <w:p>
            <w:r>
              <w:t xml:space="preserve">Proxy metrics</w:t>
            </w:r>
          </w:p>
        </w:tc>
        <w:tc>
          <w:tcPr>
            <w:tcW w:w="3120" w:type="dxa"/>
          </w:tcPr>
          <w:p>
            <w:r>
              <w:t xml:space="preserve">MAC count and parameter count</w:t>
            </w:r>
          </w:p>
        </w:tc>
        <w:tc>
          <w:tcPr>
            <w:tcW w:w="3120" w:type="dxa"/>
          </w:tcPr>
          <w:p>
            <w:r>
              <w:t xml:space="preserve">A standard model profiler</w:t>
            </w:r>
          </w:p>
        </w:tc>
      </w:tr>
    </w:tbl>
    <w:p/>
    <w:p>
      <w:r>
        <w:rPr>
          <w:b/>
        </w:rPr>
        <w:t xml:space="preserve">Protocol rules.</w:t>
      </w:r>
    </w:p>
    <w:p>
      <w:pPr>
        <w:pStyle w:val="a4"/>
        <w:numPr>
          <w:ilvl w:val="0"/>
          <w:numId w:val="3"/>
        </w:numPr>
      </w:pPr>
      <w:r>
        <w:t xml:space="preserve">Never report an energy or latency gain without the matching accuracy figure.</w:t>
      </w:r>
    </w:p>
    <w:p>
      <w:pPr>
        <w:pStyle w:val="a4"/>
        <w:numPr>
          <w:ilvl w:val="0"/>
          <w:numId w:val="3"/>
        </w:numPr>
      </w:pPr>
      <w:r>
        <w:t xml:space="preserve">Use the same board, clock frequency and code-generation setting for every model.</w:t>
      </w:r>
    </w:p>
    <w:p>
      <w:pPr>
        <w:pStyle w:val="a4"/>
        <w:numPr>
          <w:ilvl w:val="0"/>
          <w:numId w:val="3"/>
        </w:numPr>
      </w:pPr>
      <w:r>
        <w:t xml:space="preserve">Measure accuracy on the deployed model, because export and quantization can change it.</w:t>
      </w:r>
    </w:p>
    <w:p>
      <w:pPr>
        <w:pStyle w:val="a4"/>
        <w:numPr>
          <w:ilvl w:val="0"/>
          <w:numId w:val="3"/>
        </w:numPr>
      </w:pPr>
      <w:r>
        <w:t xml:space="preserve">Label estimated energy as an estimate. It is proportional to latency, so it ranks configurations exactly as latency does; only measured energy captures differences in memory-access energy.</w:t>
      </w:r>
    </w:p>
    <w:p>
      <w:pPr>
        <w:pStyle w:val="2"/>
      </w:pPr>
      <w:r>
        <w:t xml:space="preserve">7. Data Analysis and Validation</w:t>
      </w:r>
    </w:p>
    <w:p>
      <w:r>
        <w:rPr>
          <w:b/>
        </w:rPr>
        <w:t xml:space="preserve">Pareto analysis.</w:t>
      </w:r>
      <w:r>
        <w:t xml:space="preserve"> Plot accuracy against energy and against latency, and extract the Pareto front: the configurations that no other configuration beats on both axes. Apply the selection rule from Section 1 to name the single best configuration. Together these answer the main research question.</w:t>
      </w:r>
    </w:p>
    <w:p>
      <w:r>
        <w:rPr>
          <w:b/>
        </w:rPr>
        <w:t xml:space="preserve">Testing the hypotheses.</w:t>
      </w:r>
    </w:p>
    <w:tbl>
      <w:tblPr>
        <w:tblStyle w:val="a8"/>
        <w:tblW w:w="0" w:type="auto"/>
        <w:tblLayout w:type="fixed"/>
        <w:tblLook w:val="0420" w:firstRow="1" w:lastRow="0" w:firstColumn="0" w:lastColumn="0" w:noHBand="0" w:noVBand="1"/>
      </w:tblPr>
      <w:tblGrid>
        <w:gridCol w:w="3120"/>
        <w:gridCol w:w="6240"/>
      </w:tblGrid>
      <w:tr>
        <w:trPr>
          <w:tblHeader/>
        </w:trPr>
        <w:tc>
          <w:tcPr>
            <w:tcW w:w="3120" w:type="dxa"/>
            <w:shd w:val="clear" w:color="auto" w:fill="F2F2F2"/>
          </w:tcPr>
          <w:p>
            <w:r>
              <w:t xml:space="preserve">Hypothesis</w:t>
            </w:r>
          </w:p>
        </w:tc>
        <w:tc>
          <w:tcPr>
            <w:tcW w:w="6240" w:type="dxa"/>
            <w:shd w:val="clear" w:color="auto" w:fill="F2F2F2"/>
          </w:tcPr>
          <w:p>
            <w:r>
              <w:t xml:space="preserve">Test</w:t>
            </w:r>
          </w:p>
        </w:tc>
      </w:tr>
      <w:tr>
        <w:tc>
          <w:tcPr>
            <w:tcW w:w="3120" w:type="dxa"/>
          </w:tcPr>
          <w:p>
            <w:r>
              <w:t xml:space="preserve">H1: combined compression dominates either technique alone</w:t>
            </w:r>
          </w:p>
        </w:tc>
        <w:tc>
          <w:tcPr>
            <w:tcW w:w="6240" w:type="dxa"/>
          </w:tcPr>
          <w:p>
            <w:r>
              <w:t xml:space="preserve">Compare the Pareto fronts of pruning-only, quantization-only and combined configurations; check whether combined points dominate</w:t>
            </w:r>
          </w:p>
        </w:tc>
      </w:tr>
      <w:tr>
        <w:tc>
          <w:tcPr>
            <w:tcW w:w="3120" w:type="dxa"/>
          </w:tcPr>
          <w:p>
            <w:r>
              <w:t xml:space="preserve">H2: QAT loses less accuracy than PTQ, more so at high pruning</w:t>
            </w:r>
          </w:p>
        </w:tc>
        <w:tc>
          <w:tcPr>
            <w:tcW w:w="6240" w:type="dxa"/>
          </w:tcPr>
          <w:p>
            <w:r>
              <w:t xml:space="preserve">Paired comparison of QAT and PTQ accuracy at each pruning ratio across seeds; report the difference with 95% confidence intervals</w:t>
            </w:r>
          </w:p>
        </w:tc>
      </w:tr>
      <w:tr>
        <w:tc>
          <w:tcPr>
            <w:tcW w:w="3120" w:type="dxa"/>
          </w:tcPr>
          <w:p>
            <w:r>
              <w:t xml:space="preserve">H3: MAC count predicts real cost</w:t>
            </w:r>
          </w:p>
        </w:tc>
        <w:tc>
          <w:tcPr>
            <w:tcW w:w="6240" w:type="dxa"/>
          </w:tcPr>
          <w:p>
            <w:r>
              <w:t xml:space="preserve">Spearman rank correlation between MAC count and measured latency across the 8 benchmarked models; also against measured energy if the PPK2 is used</w:t>
            </w:r>
          </w:p>
        </w:tc>
      </w:tr>
    </w:tbl>
    <w:p/>
    <w:p>
      <w:r>
        <w:rPr>
          <w:b/>
        </w:rPr>
        <w:t xml:space="preserve">Validity checks.</w:t>
      </w:r>
    </w:p>
    <w:p>
      <w:pPr>
        <w:pStyle w:val="a4"/>
        <w:numPr>
          <w:ilvl w:val="0"/>
          <w:numId w:val="3"/>
        </w:numPr>
      </w:pPr>
      <w:r>
        <w:t xml:space="preserve">The Phase 1 exit check confirms the pipeline before new results are trusted.</w:t>
      </w:r>
    </w:p>
    <w:p>
      <w:pPr>
        <w:pStyle w:val="a4"/>
        <w:numPr>
          <w:ilvl w:val="0"/>
          <w:numId w:val="3"/>
        </w:numPr>
      </w:pPr>
      <w:r>
        <w:t xml:space="preserve">Results are reported as mean and standard deviation over 3 seeds; differences smaller than the seed spread are not claimed as wins.</w:t>
      </w:r>
    </w:p>
    <w:p>
      <w:pPr>
        <w:pStyle w:val="a4"/>
        <w:numPr>
          <w:ilvl w:val="0"/>
          <w:numId w:val="3"/>
        </w:numPr>
      </w:pPr>
      <w:r>
        <w:t xml:space="preserve">All code, configuration files and raw results are archived so another researcher can repeat the study.</w:t>
      </w:r>
    </w:p>
    <w:p>
      <w:pPr>
        <w:pStyle w:val="2"/>
      </w:pPr>
      <w:r>
        <w:t xml:space="preserve">8. Threats to Validity and Limitations</w:t>
      </w:r>
    </w:p>
    <w:tbl>
      <w:tblPr>
        <w:tblStyle w:val="a8"/>
        <w:tblW w:w="0" w:type="auto"/>
        <w:tblLayout w:type="fixed"/>
        <w:tblLook w:val="0420" w:firstRow="1" w:lastRow="0" w:firstColumn="0" w:lastColumn="0" w:noHBand="0" w:noVBand="1"/>
      </w:tblPr>
      <w:tblGrid>
        <w:gridCol w:w="3120"/>
        <w:gridCol w:w="3120"/>
        <w:gridCol w:w="3120"/>
      </w:tblGrid>
      <w:tr>
        <w:trPr>
          <w:tblHeader/>
        </w:trPr>
        <w:tc>
          <w:tcPr>
            <w:tcW w:w="3120" w:type="dxa"/>
            <w:shd w:val="clear" w:color="auto" w:fill="F2F2F2"/>
          </w:tcPr>
          <w:p>
            <w:r>
              <w:t xml:space="preserve">Threat</w:t>
            </w:r>
          </w:p>
        </w:tc>
        <w:tc>
          <w:tcPr>
            <w:tcW w:w="3120" w:type="dxa"/>
            <w:shd w:val="clear" w:color="auto" w:fill="F2F2F2"/>
          </w:tcPr>
          <w:p>
            <w:r>
              <w:t xml:space="preserve">Effect</w:t>
            </w:r>
          </w:p>
        </w:tc>
        <w:tc>
          <w:tcPr>
            <w:tcW w:w="3120" w:type="dxa"/>
            <w:shd w:val="clear" w:color="auto" w:fill="F2F2F2"/>
          </w:tcPr>
          <w:p>
            <w:r>
              <w:t xml:space="preserve">Mitigation</w:t>
            </w:r>
          </w:p>
        </w:tc>
      </w:tr>
      <w:tr>
        <w:tc>
          <w:tcPr>
            <w:tcW w:w="3120" w:type="dxa"/>
          </w:tcPr>
          <w:p>
            <w:r>
              <w:t xml:space="preserve">One model and one dataset</w:t>
            </w:r>
          </w:p>
        </w:tc>
        <w:tc>
          <w:tcPr>
            <w:tcW w:w="3120" w:type="dxa"/>
          </w:tcPr>
          <w:p>
            <w:r>
              <w:t xml:space="preserve">Findings may not generalize, a limitation the review notes in prior work (Laguduva et al., 2020)</w:t>
            </w:r>
          </w:p>
        </w:tc>
        <w:tc>
          <w:tcPr>
            <w:tcW w:w="3120" w:type="dxa"/>
          </w:tcPr>
          <w:p>
            <w:r>
              <w:t xml:space="preserve">State the scope plainly; if time allows, repeat the Pareto analysis on a second dataset such as Visual Wake Words</w:t>
            </w:r>
          </w:p>
        </w:tc>
      </w:tr>
      <w:tr>
        <w:tc>
          <w:tcPr>
            <w:tcW w:w="3120" w:type="dxa"/>
          </w:tcPr>
          <w:p>
            <w:r>
              <w:t xml:space="preserve">One microcontroller</w:t>
            </w:r>
          </w:p>
        </w:tc>
        <w:tc>
          <w:tcPr>
            <w:tcW w:w="3120" w:type="dxa"/>
          </w:tcPr>
          <w:p>
            <w:r>
              <w:t xml:space="preserve">Results may not transfer to FPGAs, ASICs or other cores</w:t>
            </w:r>
          </w:p>
        </w:tc>
        <w:tc>
          <w:tcPr>
            <w:tcW w:w="3120" w:type="dxa"/>
          </w:tcPr>
          <w:p>
            <w:r>
              <w:t xml:space="preserve">Treat hardware results as one data point</w:t>
            </w:r>
          </w:p>
        </w:tc>
      </w:tr>
      <w:tr>
        <w:tc>
          <w:tcPr>
            <w:tcW w:w="3120" w:type="dxa"/>
          </w:tcPr>
          <w:p>
            <w:r>
              <w:t xml:space="preserve">Estimated energy</w:t>
            </w:r>
          </w:p>
        </w:tc>
        <w:tc>
          <w:tcPr>
            <w:tcW w:w="3120" w:type="dxa"/>
          </w:tcPr>
          <w:p>
            <w:r>
              <w:t xml:space="preserve">Ignores differences in memory-access energy and simply mirrors latency</w:t>
            </w:r>
          </w:p>
        </w:tc>
        <w:tc>
          <w:tcPr>
            <w:tcW w:w="3120" w:type="dxa"/>
          </w:tcPr>
          <w:p>
            <w:r>
              <w:t xml:space="preserve">Label it as an estimate; measure Pareto-optimal models with a PPK2 where possible</w:t>
            </w:r>
          </w:p>
        </w:tc>
      </w:tr>
      <w:tr>
        <w:tc>
          <w:tcPr>
            <w:tcW w:w="3120" w:type="dxa"/>
          </w:tcPr>
          <w:p>
            <w:r>
              <w:t xml:space="preserve">Training randomness</w:t>
            </w:r>
          </w:p>
        </w:tc>
        <w:tc>
          <w:tcPr>
            <w:tcW w:w="3120" w:type="dxa"/>
          </w:tcPr>
          <w:p>
            <w:r>
              <w:t xml:space="preserve">Accuracy differences may be noise</w:t>
            </w:r>
          </w:p>
        </w:tc>
        <w:tc>
          <w:tcPr>
            <w:tcW w:w="3120" w:type="dxa"/>
          </w:tcPr>
          <w:p>
            <w:r>
              <w:t xml:space="preserve">3 seeds; report spread</w:t>
            </w:r>
          </w:p>
        </w:tc>
      </w:tr>
      <w:tr>
        <w:tc>
          <w:tcPr>
            <w:tcW w:w="3120" w:type="dxa"/>
          </w:tcPr>
          <w:p>
            <w:r>
              <w:t xml:space="preserve">Different tuning effort per method</w:t>
            </w:r>
          </w:p>
        </w:tc>
        <w:tc>
          <w:tcPr>
            <w:tcW w:w="3120" w:type="dxa"/>
          </w:tcPr>
          <w:p>
            <w:r>
              <w:t xml:space="preserve">One method may look better because it was tuned more</w:t>
            </w:r>
          </w:p>
        </w:tc>
        <w:tc>
          <w:tcPr>
            <w:tcW w:w="3120" w:type="dxa"/>
          </w:tcPr>
          <w:p>
            <w:r>
              <w:t xml:space="preserve">Same fine-tuning budget for every configuration</w:t>
            </w:r>
          </w:p>
        </w:tc>
      </w:tr>
      <w:tr>
        <w:tc>
          <w:tcPr>
            <w:tcW w:w="3120" w:type="dxa"/>
          </w:tcPr>
          <w:p>
            <w:r>
              <w:t xml:space="preserve">Export and conversion</w:t>
            </w:r>
          </w:p>
        </w:tc>
        <w:tc>
          <w:tcPr>
            <w:tcW w:w="3120" w:type="dxa"/>
          </w:tcPr>
          <w:p>
            <w:r>
              <w:t xml:space="preserve">ONNX export or quantization may change accuracy</w:t>
            </w:r>
          </w:p>
        </w:tc>
        <w:tc>
          <w:tcPr>
            <w:tcW w:w="3120" w:type="dxa"/>
          </w:tcPr>
          <w:p>
            <w:r>
              <w:t xml:space="preserve">Measure accuracy on the exported model; fix tool versions</w:t>
            </w:r>
          </w:p>
        </w:tc>
      </w:tr>
      <w:tr>
        <w:tc>
          <w:tcPr>
            <w:tcW w:w="3120" w:type="dxa"/>
          </w:tcPr>
          <w:p>
            <w:r>
              <w:t xml:space="preserve">Small sample for H3</w:t>
            </w:r>
          </w:p>
        </w:tc>
        <w:tc>
          <w:tcPr>
            <w:tcW w:w="3120" w:type="dxa"/>
          </w:tcPr>
          <w:p>
            <w:r>
              <w:t xml:space="preserve">Only 8 models, so the correlation has low statistical power</w:t>
            </w:r>
          </w:p>
        </w:tc>
        <w:tc>
          <w:tcPr>
            <w:tcW w:w="3120" w:type="dxa"/>
          </w:tcPr>
          <w:p>
            <w:r>
              <w:t xml:space="preserve">Report H3 as indicative, with a confidence interval</w:t>
            </w:r>
          </w:p>
        </w:tc>
      </w:tr>
    </w:tbl>
    <w:p/>
    <w:p>
      <w:pPr>
        <w:pStyle w:val="2"/>
      </w:pPr>
      <w:r>
        <w:t xml:space="preserve">9. Expected Outputs and Timeline</w:t>
      </w:r>
    </w:p>
    <w:p>
      <w:r>
        <w:t xml:space="preserve">The study yields a reproducible benchmark protocol, Pareto fronts with a named best configuration, a test of the three hypotheses, and an open archive of code and raw data. Durations are estimates for one researcher and should be adjusted.</w:t>
      </w:r>
    </w:p>
    <w:tbl>
      <w:tblPr>
        <w:tblStyle w:val="a8"/>
        <w:tblW w:w="0" w:type="auto"/>
        <w:tblLayout w:type="fixed"/>
        <w:tblLook w:val="0420" w:firstRow="1" w:lastRow="0" w:firstColumn="0" w:lastColumn="0" w:noHBand="0" w:noVBand="1"/>
      </w:tblPr>
      <w:tblGrid>
        <w:gridCol w:w="3120"/>
        <w:gridCol w:w="6240"/>
      </w:tblGrid>
      <w:tr>
        <w:trPr>
          <w:tblHeader/>
        </w:trPr>
        <w:tc>
          <w:tcPr>
            <w:tcW w:w="3120" w:type="dxa"/>
            <w:shd w:val="clear" w:color="auto" w:fill="F2F2F2"/>
          </w:tcPr>
          <w:p>
            <w:r>
              <w:t xml:space="preserve">Phase</w:t>
            </w:r>
          </w:p>
        </w:tc>
        <w:tc>
          <w:tcPr>
            <w:tcW w:w="6240" w:type="dxa"/>
            <w:shd w:val="clear" w:color="auto" w:fill="F2F2F2"/>
          </w:tcPr>
          <w:p>
            <w:r>
              <w:t xml:space="preserve">Duration</w:t>
            </w:r>
          </w:p>
        </w:tc>
      </w:tr>
      <w:tr>
        <w:tc>
          <w:tcPr>
            <w:tcW w:w="3120" w:type="dxa"/>
          </w:tcPr>
          <w:p>
            <w:r>
              <w:t xml:space="preserve">Setup and baseline training</w:t>
            </w:r>
          </w:p>
        </w:tc>
        <w:tc>
          <w:tcPr>
            <w:tcW w:w="6240" w:type="dxa"/>
          </w:tcPr>
          <w:p>
            <w:r>
              <w:t xml:space="preserve">2–3 weeks</w:t>
            </w:r>
          </w:p>
        </w:tc>
      </w:tr>
      <w:tr>
        <w:tc>
          <w:tcPr>
            <w:tcW w:w="3120" w:type="dxa"/>
          </w:tcPr>
          <w:p>
            <w:r>
              <w:t xml:space="preserve">Pruning and quantization runs</w:t>
            </w:r>
          </w:p>
        </w:tc>
        <w:tc>
          <w:tcPr>
            <w:tcW w:w="6240" w:type="dxa"/>
          </w:tcPr>
          <w:p>
            <w:r>
              <w:t xml:space="preserve">2–3 weeks</w:t>
            </w:r>
          </w:p>
        </w:tc>
      </w:tr>
      <w:tr>
        <w:tc>
          <w:tcPr>
            <w:tcW w:w="3120" w:type="dxa"/>
          </w:tcPr>
          <w:p>
            <w:r>
              <w:t xml:space="preserve">Hardware benchmarks</w:t>
            </w:r>
          </w:p>
        </w:tc>
        <w:tc>
          <w:tcPr>
            <w:tcW w:w="6240" w:type="dxa"/>
          </w:tcPr>
          <w:p>
            <w:r>
              <w:t xml:space="preserve">1 week</w:t>
            </w:r>
          </w:p>
        </w:tc>
      </w:tr>
      <w:tr>
        <w:tc>
          <w:tcPr>
            <w:tcW w:w="3120" w:type="dxa"/>
          </w:tcPr>
          <w:p>
            <w:r>
              <w:t xml:space="preserve">Optional PPK2 measurement</w:t>
            </w:r>
          </w:p>
        </w:tc>
        <w:tc>
          <w:tcPr>
            <w:tcW w:w="6240" w:type="dxa"/>
          </w:tcPr>
          <w:p>
            <w:r>
              <w:t xml:space="preserve">1 week</w:t>
            </w:r>
          </w:p>
        </w:tc>
      </w:tr>
      <w:tr>
        <w:tc>
          <w:tcPr>
            <w:tcW w:w="3120" w:type="dxa"/>
          </w:tcPr>
          <w:p>
            <w:r>
              <w:t xml:space="preserve">Analysis and writing</w:t>
            </w:r>
          </w:p>
        </w:tc>
        <w:tc>
          <w:tcPr>
            <w:tcW w:w="6240" w:type="dxa"/>
          </w:tcPr>
          <w:p>
            <w:r>
              <w:t xml:space="preserve">3–4 weeks</w:t>
            </w:r>
          </w:p>
        </w:tc>
      </w:tr>
      <w:tr>
        <w:tc>
          <w:tcPr>
            <w:tcW w:w="3120" w:type="dxa"/>
          </w:tcPr>
          <w:p>
            <w:r>
              <w:t xml:space="preserve">Total</w:t>
            </w:r>
          </w:p>
        </w:tc>
        <w:tc>
          <w:tcPr>
            <w:tcW w:w="6240" w:type="dxa"/>
          </w:tcPr>
          <w:p>
            <w:r>
              <w:t xml:space="preserve">About 2–3 months</w:t>
            </w:r>
          </w:p>
        </w:tc>
      </w:tr>
    </w:tbl>
    <w:p/>
    <w:sectPr w:rsidR="005A12B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7BA7F3F"/>
    <w:multiLevelType w:val="hybridMultilevel"/>
    <w:tmpl w:val="AE00C274"/>
    <w:lvl w:ilvl="0" w:tplc="546AF882">
      <w:start w:val="1"/>
      <w:numFmt w:val="bullet"/>
      <w:lvlText w:val="•"/>
      <w:lvlJc w:val="left"/>
      <w:pPr>
        <w:ind w:left="720" w:hanging="360"/>
      </w:pPr>
    </w:lvl>
    <w:lvl w:ilvl="1" w:tplc="3BA6A4B8">
      <w:start w:val="1"/>
      <w:numFmt w:val="bullet"/>
      <w:lvlText w:val="o"/>
      <w:lvlJc w:val="left"/>
      <w:pPr>
        <w:ind w:left="1440" w:hanging="360"/>
      </w:pPr>
    </w:lvl>
    <w:lvl w:ilvl="2" w:tplc="C0343B06">
      <w:start w:val="1"/>
      <w:numFmt w:val="bullet"/>
      <w:lvlText w:val="▪"/>
      <w:lvlJc w:val="left"/>
      <w:pPr>
        <w:ind w:left="2160" w:hanging="360"/>
      </w:pPr>
    </w:lvl>
    <w:lvl w:ilvl="3" w:tplc="C2AE1562">
      <w:start w:val="1"/>
      <w:numFmt w:val="bullet"/>
      <w:lvlText w:val="•"/>
      <w:lvlJc w:val="left"/>
      <w:pPr>
        <w:ind w:left="2880" w:hanging="360"/>
      </w:pPr>
    </w:lvl>
    <w:lvl w:ilvl="4" w:tplc="8F0C5C96">
      <w:start w:val="1"/>
      <w:numFmt w:val="bullet"/>
      <w:lvlText w:val="o"/>
      <w:lvlJc w:val="left"/>
      <w:pPr>
        <w:ind w:left="3600" w:hanging="360"/>
      </w:pPr>
    </w:lvl>
    <w:lvl w:ilvl="5" w:tplc="6D862924">
      <w:start w:val="1"/>
      <w:numFmt w:val="bullet"/>
      <w:lvlText w:val="▪"/>
      <w:lvlJc w:val="left"/>
      <w:pPr>
        <w:ind w:left="4320" w:hanging="360"/>
      </w:pPr>
    </w:lvl>
    <w:lvl w:ilvl="6" w:tplc="9A6C8820">
      <w:start w:val="1"/>
      <w:numFmt w:val="bullet"/>
      <w:lvlText w:val="•"/>
      <w:lvlJc w:val="left"/>
      <w:pPr>
        <w:ind w:left="5040" w:hanging="360"/>
      </w:pPr>
    </w:lvl>
    <w:lvl w:ilvl="7" w:tplc="DE7CB5D8">
      <w:start w:val="1"/>
      <w:numFmt w:val="bullet"/>
      <w:lvlText w:val="o"/>
      <w:lvlJc w:val="left"/>
      <w:pPr>
        <w:ind w:left="5760" w:hanging="360"/>
      </w:pPr>
    </w:lvl>
    <w:lvl w:ilvl="8" w:tplc="C43A63D2">
      <w:start w:val="1"/>
      <w:numFmt w:val="bullet"/>
      <w:lvlText w:val="▪"/>
      <w:lvlJc w:val="left"/>
      <w:pPr>
        <w:ind w:left="6480" w:hanging="360"/>
      </w:pPr>
    </w:lvl>
  </w:abstractNum>
  <w:abstractNum w:abstractNumId="1" w15:restartNumberingAfterBreak="0">
    <w:nsid w:val="78511094"/>
    <w:multiLevelType w:val="hybridMultilevel"/>
    <w:tmpl w:val="6666F472"/>
    <w:lvl w:ilvl="0" w:tplc="5C36FF6A">
      <w:start w:val="1"/>
      <w:numFmt w:val="decimal"/>
      <w:lvlText w:val="%1."/>
      <w:lvlJc w:val="left"/>
      <w:pPr>
        <w:ind w:left="720" w:hanging="360"/>
      </w:pPr>
    </w:lvl>
    <w:lvl w:ilvl="1" w:tplc="306645F2">
      <w:start w:val="1"/>
      <w:numFmt w:val="lowerLetter"/>
      <w:lvlText w:val="%2."/>
      <w:lvlJc w:val="left"/>
      <w:pPr>
        <w:ind w:left="1440" w:hanging="360"/>
      </w:pPr>
    </w:lvl>
    <w:lvl w:ilvl="2" w:tplc="E1D07162">
      <w:start w:val="1"/>
      <w:numFmt w:val="lowerRoman"/>
      <w:lvlText w:val="%3."/>
      <w:lvlJc w:val="left"/>
      <w:pPr>
        <w:ind w:left="2160" w:hanging="360"/>
      </w:pPr>
    </w:lvl>
    <w:lvl w:ilvl="3" w:tplc="44B68ABC">
      <w:start w:val="1"/>
      <w:numFmt w:val="decimal"/>
      <w:lvlText w:val="%4."/>
      <w:lvlJc w:val="left"/>
      <w:pPr>
        <w:ind w:left="2880" w:hanging="360"/>
      </w:pPr>
    </w:lvl>
    <w:lvl w:ilvl="4" w:tplc="AEE07C18">
      <w:start w:val="1"/>
      <w:numFmt w:val="lowerLetter"/>
      <w:lvlText w:val="%5."/>
      <w:lvlJc w:val="left"/>
      <w:pPr>
        <w:ind w:left="3600" w:hanging="360"/>
      </w:pPr>
    </w:lvl>
    <w:lvl w:ilvl="5" w:tplc="29AE6870">
      <w:start w:val="1"/>
      <w:numFmt w:val="lowerRoman"/>
      <w:lvlText w:val="%6."/>
      <w:lvlJc w:val="left"/>
      <w:pPr>
        <w:ind w:left="4320" w:hanging="360"/>
      </w:pPr>
    </w:lvl>
    <w:lvl w:ilvl="6" w:tplc="2F02CE74">
      <w:start w:val="1"/>
      <w:numFmt w:val="decimal"/>
      <w:lvlText w:val="%7."/>
      <w:lvlJc w:val="left"/>
      <w:pPr>
        <w:ind w:left="5040" w:hanging="360"/>
      </w:pPr>
    </w:lvl>
    <w:lvl w:ilvl="7" w:tplc="E6061F98">
      <w:start w:val="1"/>
      <w:numFmt w:val="lowerLetter"/>
      <w:lvlText w:val="%8."/>
      <w:lvlJc w:val="left"/>
      <w:pPr>
        <w:ind w:left="5760" w:hanging="360"/>
      </w:pPr>
    </w:lvl>
    <w:lvl w:ilvl="8" w:tplc="7AE655EA">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0"/>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fullPage" w:percent="100"/>
  <w:proofState w:spelling="clean" w:grammar="clean"/>
  <w:defaultTabStop w:val="720"/>
  <w:characterSpacingControl w:val="doNotCompress"/>
  <w:compat>
    <w:compatSetting w:name="compatibilityMode" w:uri="http://schemas.microsoft.com/office/word" w:val="12"/>
  </w:compat>
  <w:rsids>
    <w:rsidRoot w:val="005A12B5"/>
    <w:rsid w:val="00131DB0"/>
    <w:rsid w:val="005A12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7FCF4"/>
  <w15:docId w15:val="{A573FF16-D392-421A-9407-40EB4FC18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qFormat/>
    <w:pPr>
      <w:keepNext/>
      <w:spacing w:before="360" w:after="120"/>
      <w:outlineLvl w:val="0"/>
    </w:pPr>
    <w:rPr>
      <w:b/>
      <w:sz w:val="32"/>
    </w:rPr>
  </w:style>
  <w:style w:type="paragraph" w:styleId="2">
    <w:name w:val="heading 2"/>
    <w:basedOn w:val="a"/>
    <w:next w:val="a"/>
    <w:qFormat/>
    <w:pPr>
      <w:keepNext/>
      <w:spacing w:before="280" w:after="100"/>
      <w:outlineLvl w:val="1"/>
    </w:pPr>
    <w:rPr>
      <w:b/>
      <w:sz w:val="26"/>
    </w:rPr>
  </w:style>
  <w:style w:type="paragraph" w:styleId="3">
    <w:name w:val="heading 3"/>
    <w:basedOn w:val="a"/>
    <w:next w:val="a"/>
    <w:qFormat/>
    <w:pPr>
      <w:keepNext/>
      <w:spacing w:before="240" w:after="80"/>
      <w:outlineLvl w:val="2"/>
    </w:pPr>
    <w:rPr>
      <w:b/>
      <w:sz w:val="24"/>
    </w:rPr>
  </w:style>
  <w:style w:type="paragraph" w:styleId="4">
    <w:name w:val="heading 4"/>
    <w:basedOn w:val="a"/>
    <w:next w:val="a"/>
    <w:qFormat/>
    <w:pPr>
      <w:keepNext/>
      <w:outlineLvl w:val="3"/>
    </w:pPr>
    <w:rPr>
      <w:b/>
    </w:rPr>
  </w:style>
  <w:style w:type="paragraph" w:styleId="5">
    <w:name w:val="heading 5"/>
    <w:basedOn w:val="a"/>
    <w:next w:val="a"/>
    <w:qFormat/>
    <w:pPr>
      <w:keepNext/>
      <w:outlineLvl w:val="4"/>
    </w:pPr>
    <w:rPr>
      <w:b/>
    </w:rPr>
  </w:style>
  <w:style w:type="paragraph" w:styleId="6">
    <w:name w:val="heading 6"/>
    <w:basedOn w:val="a"/>
    <w:next w:val="a"/>
    <w:qFormat/>
    <w:pPr>
      <w:keepNext/>
      <w:outlineLvl w:val="5"/>
    </w:pPr>
    <w:rPr>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spacing w:after="80"/>
      <w:contextualSpacing/>
    </w:pPr>
    <w:rPr>
      <w:sz w:val="56"/>
    </w:rPr>
  </w:style>
  <w:style w:type="paragraph" w:styleId="20">
    <w:name w:val="Quote"/>
    <w:basedOn w:val="a"/>
    <w:qFormat/>
    <w:pPr>
      <w:pBdr>
        <w:left w:val="single" w:sz="12" w:space="8" w:color="A0A0A0"/>
      </w:pBdr>
      <w:ind w:left="720" w:right="720"/>
    </w:pPr>
    <w:rPr>
      <w:i/>
      <w:color w:val="404040"/>
    </w:rPr>
  </w:style>
  <w:style w:type="paragraph" w:customStyle="1" w:styleId="Code">
    <w:name w:val="Code"/>
    <w:basedOn w:val="a"/>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a4">
    <w:name w:val="List Paragraph"/>
    <w:basedOn w:val="a"/>
    <w:qFormat/>
    <w:pPr>
      <w:ind w:left="720"/>
      <w:contextualSpacing/>
    </w:pPr>
  </w:style>
  <w:style w:type="character" w:styleId="a5">
    <w:name w:val="Hyperlink"/>
    <w:rPr>
      <w:color w:val="0563C1"/>
      <w:u w:val="single"/>
    </w:rPr>
  </w:style>
  <w:style w:type="paragraph" w:styleId="a6">
    <w:name w:val="annotation text"/>
    <w:basedOn w:val="a"/>
    <w:pPr>
      <w:spacing w:line="240" w:lineRule="auto"/>
    </w:pPr>
    <w:rPr>
      <w:sz w:val="20"/>
      <w:szCs w:val="20"/>
    </w:rPr>
  </w:style>
  <w:style w:type="character" w:styleId="a7">
    <w:name w:val="annotation reference"/>
    <w:rPr>
      <w:sz w:val="16"/>
      <w:szCs w:val="16"/>
    </w:rPr>
  </w:style>
  <w:style w:type="table" w:styleId="a8">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1388</Words>
  <Characters>7912</Characters>
  <Application>Microsoft Office Word</Application>
  <DocSecurity>0</DocSecurity>
  <Lines>65</Lines>
  <Paragraphs>18</Paragraphs>
  <ScaleCrop>false</ScaleCrop>
  <Company>SPecialiST RePack</Company>
  <LinksUpToDate>false</LinksUpToDate>
  <CharactersWithSpaces>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Methodology Quantization and Pruning Trade-offs for Embedded CNN Infere</dc:title>
  <dc:description>Claude Docs node/e431b769-22bc@9 docx-w6</dc:description>
  <cp:lastModifiedBy>user1111</cp:lastModifiedBy>
  <cp:revision>11</cp:revision>
  <dcterms:created xsi:type="dcterms:W3CDTF">2026-10-11T16:49:00Z</dcterms:created>
  <dcterms:modified xsi:type="dcterms:W3CDTF">2026-10-11T16:58:00Z</dcterms:modified>
</cp:coreProperties>
</file>