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color w:val="595959"/>
          <w:spacing w:val="60"/>
          <w:sz w:val="26"/>
          <w:szCs w:val="26"/>
        </w:rPr>
        <w:t xml:space="preserve">FINAL PROJECT REPORT</w:t>
      </w:r>
    </w:p>
    <w:p>
      <w:pPr>
        <w:pBdr>
          <w:top w:val="single" w:color="1F3864" w:sz="12" w:space="12"/>
          <w:bottom w:val="single" w:color="1F3864" w:sz="12" w:space="12"/>
        </w:pBdr>
        <w:spacing w:after="200" w:before="200"/>
        <w:jc w:val="center"/>
      </w:pPr>
      <w:r>
        <w:rPr>
          <w:b/>
          <w:bCs/>
          <w:color w:val="1F3864"/>
          <w:sz w:val="40"/>
          <w:szCs w:val="40"/>
        </w:rPr>
        <w:t xml:space="preserve">Apartment Price Prediction and Market Analysis in Tashkent Using Multiple Linear Regression</w:t>
      </w:r>
    </w:p>
    <w:p>
      <w:pPr>
        <w:spacing w:after="500"/>
      </w:pPr>
    </w:p>
    <w:p>
      <w:pPr>
        <w:spacing w:after="60"/>
        <w:jc w:val="center"/>
      </w:pPr>
      <w:r>
        <w:rPr>
          <w:sz w:val="26"/>
          <w:szCs w:val="26"/>
        </w:rPr>
        <w:t xml:space="preserve">Course: Artificial Intelligence (AI)</w:t>
      </w:r>
    </w:p>
    <w:p>
      <w:pPr>
        <w:spacing w:after="60"/>
        <w:jc w:val="center"/>
      </w:pPr>
      <w:r>
        <w:rPr>
          <w:sz w:val="26"/>
          <w:szCs w:val="26"/>
        </w:rPr>
        <w:t xml:space="preserve">Team: TEAM (Group E40B)</w:t>
      </w:r>
    </w:p>
    <w:p>
      <w:pPr>
        <w:spacing w:after="60"/>
        <w:jc w:val="center"/>
      </w:pPr>
      <w:r>
        <w:rPr>
          <w:sz w:val="26"/>
          <w:szCs w:val="26"/>
        </w:rPr>
        <w:t xml:space="preserve">Submitted to: Course Professor</w:t>
      </w:r>
    </w:p>
    <w:p>
      <w:pPr>
        <w:spacing w:after="500"/>
        <w:jc w:val="center"/>
      </w:pPr>
      <w:r>
        <w:rPr>
          <w:sz w:val="26"/>
          <w:szCs w:val="26"/>
        </w:rPr>
        <w:t xml:space="preserve">Submission date: October 21, 2026</w:t>
      </w:r>
    </w:p>
    <w:p>
      <w:pPr>
        <w:spacing w:after="160"/>
        <w:jc w:val="center"/>
      </w:pPr>
      <w:r>
        <w:rPr>
          <w:b/>
          <w:bCs/>
          <w:sz w:val="26"/>
          <w:szCs w:val="26"/>
        </w:rP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726"/>
      </w:tblGrid>
      <w:tr>
        <w:trPr>
          <w:cantSplit/>
          <w:tblHeader/>
        </w:trPr>
        <w:tc>
          <w:tcPr>
            <w:tcW w:type="dxa" w:w="3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Name</w:t>
            </w:r>
          </w:p>
        </w:tc>
        <w:tc>
          <w:tcPr>
            <w:tcW w:type="dxa" w:w="2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Student ID</w:t>
            </w:r>
          </w:p>
        </w:tc>
        <w:tc>
          <w:tcPr>
            <w:tcW w:type="dxa" w:w="37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Role</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Oydinov Bexruz</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202390243</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Team Leader &amp; Data Modeler</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Murtazoyev Xondamir</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202390241</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Chief Programming Officer</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Sayfulloyev Muhammad</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202390201</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Researcher &amp; Data Analyst</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Abdumurodov Mashrab</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202390257</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AI Prompt Engineer &amp; Evaluation Lead</w:t>
            </w:r>
          </w:p>
        </w:tc>
      </w:tr>
    </w:tbl>
    <w:p>
      <w:r>
        <w:br w:type="page"/>
      </w:r>
    </w:p>
    <w:p>
      <w:pPr>
        <w:pStyle w:val="Heading1"/>
      </w:pPr>
      <w:r>
        <w:t xml:space="preserve">1. Abstract</w:t>
      </w:r>
    </w:p>
    <w:p>
      <w:pPr>
        <w:spacing w:after="140" w:before="0" w:line="300"/>
        <w:jc w:val="both"/>
      </w:pPr>
      <w:r>
        <w:t xml:space="preserve">The residential real estate market in Tashkent is characterized by rapid urban growth and large price differences between neighborhoods. Because sellers often set asking prices subjectively, comparable apartments can be listed at very different prices. This project develops an interpretable Multiple Linear Regression (MLR) model that predicts fair apartment prices in US dollars (USD) from real listing data scraped from </w:t>
      </w:r>
      <w:r>
        <w:rPr>
          <w:rFonts w:ascii="Consolas" w:cs="Consolas" w:eastAsia="Consolas" w:hAnsi="Consolas"/>
          <w:sz w:val="22"/>
          <w:szCs w:val="22"/>
        </w:rPr>
        <w:t xml:space="preserve">uybor.uz</w:t>
      </w:r>
      <w:r>
        <w:t xml:space="preserve">.</w:t>
      </w:r>
    </w:p>
    <w:p>
      <w:pPr>
        <w:spacing w:after="140" w:before="0" w:line="300"/>
        <w:jc w:val="both"/>
      </w:pPr>
      <w:r>
        <w:t xml:space="preserve">The raw dataset contained 7,421 listings from all 12 administrative districts of Tashkent. A four-stage cleaning process (removal of duplicates, logically inconsistent records, implausible layouts, and extreme outliers) left 6,360 listings. Five domain features were then engineered, including the Haversine distance to the city center (Amir Temur Square), and the district variable was one-hot encoded. No feature was derived from the target price.</w:t>
      </w:r>
    </w:p>
    <w:p>
      <w:pPr>
        <w:spacing w:after="140" w:before="0" w:line="300"/>
        <w:jc w:val="both"/>
      </w:pPr>
      <w:r>
        <w:t xml:space="preserve">On an unseen 20% test set, the Ordinary Least Squares (OLS) model achieved R² = 0.742 (5-fold cross-validated R² = 0.738), a Mean Absolute Error (MAE) of $8,900, and a Root Mean Squared Error (RMSE) of $12,450. Living area is the strongest predictor, adding about $868.50 per square meter, while central districts carry clear premiums relative to the baseline district (Mirobod +$11,850, Yakkasaroy +$9,200). The model was also deployed as an interactive web-based price predictor to demonstrate its practical use.</w:t>
      </w:r>
    </w:p>
    <w:p>
      <w:pPr>
        <w:pStyle w:val="Heading1"/>
      </w:pPr>
      <w:r>
        <w:t xml:space="preserve">2. Introduction and Objectives</w:t>
      </w:r>
    </w:p>
    <w:p>
      <w:pPr>
        <w:pStyle w:val="Heading2"/>
      </w:pPr>
      <w:r>
        <w:t xml:space="preserve">2.1 Background</w:t>
      </w:r>
    </w:p>
    <w:p>
      <w:pPr>
        <w:spacing w:after="140" w:before="0" w:line="300"/>
        <w:jc w:val="both"/>
      </w:pPr>
      <w:r>
        <w:t xml:space="preserve">Over the past decade Tashkent has seen accelerated residential construction, from Soviet-era panel housing in established neighborhoods to modern high-rise developments near the center. Despite the high volume of transactions, transparent automated valuation tools are scarce. Buyers and sellers mostly rely on classified listing portals where asking prices are set heuristically, so two apartments of similar size can differ widely in price depending on how sellers perceive neighborhood prestige or floor level.</w:t>
      </w:r>
    </w:p>
    <w:p>
      <w:pPr>
        <w:spacing w:after="140" w:before="0" w:line="300"/>
        <w:jc w:val="both"/>
      </w:pPr>
      <w:r>
        <w:t xml:space="preserve">Machine learning offers an objective way to reduce this ambiguity. Complex non-linear models such as neural networks or gradient-boosted trees can be very accurate, but they often act as "black boxes" that hide the economic weight of each property feature. Multiple Linear Regression provides solid baseline accuracy and full transparency: each coefficient is the marginal dollar contribution of one attribute, holding the others constant.</w:t>
      </w:r>
    </w:p>
    <w:p>
      <w:pPr>
        <w:pStyle w:val="Heading2"/>
      </w:pPr>
      <w:r>
        <w:t xml:space="preserve">2.2 Research Objectives</w:t>
      </w:r>
    </w:p>
    <w:p>
      <w:pPr>
        <w:keepNext/>
        <w:spacing w:after="140" w:before="0" w:line="300"/>
        <w:jc w:val="both"/>
      </w:pPr>
      <w:r>
        <w:t xml:space="preserve">The aim of this study is to analyze the structural and spatial determinants of apartment prices in Tashkent and build a reliable linear prediction model. Specifically, the project aims to:</w:t>
      </w:r>
    </w:p>
    <w:p>
      <w:pPr>
        <w:pStyle w:val="ListParagraph"/>
        <w:numPr>
          <w:ilvl w:val="0"/>
          <w:numId w:val="2"/>
        </w:numPr>
        <w:spacing w:after="100" w:line="300"/>
        <w:jc w:val="both"/>
      </w:pPr>
      <w:r>
        <w:rPr>
          <w:b/>
          <w:bCs/>
        </w:rPr>
        <w:t xml:space="preserve">Clean the data:</w:t>
      </w:r>
      <w:r>
        <w:t xml:space="preserve"> audit the scraped </w:t>
      </w:r>
      <w:r>
        <w:rPr>
          <w:rFonts w:ascii="Consolas" w:cs="Consolas" w:eastAsia="Consolas" w:hAnsi="Consolas"/>
          <w:sz w:val="22"/>
          <w:szCs w:val="22"/>
        </w:rPr>
        <w:t xml:space="preserve">uybor.uz</w:t>
      </w:r>
      <w:r>
        <w:t xml:space="preserve"> data and remove duplicates, data-entry errors, and extreme outliers that distort OLS estimation.</w:t>
      </w:r>
    </w:p>
    <w:p>
      <w:pPr>
        <w:pStyle w:val="ListParagraph"/>
        <w:numPr>
          <w:ilvl w:val="0"/>
          <w:numId w:val="2"/>
        </w:numPr>
        <w:spacing w:after="100" w:line="300"/>
        <w:jc w:val="both"/>
      </w:pPr>
      <w:r>
        <w:rPr>
          <w:b/>
          <w:bCs/>
        </w:rPr>
        <w:t xml:space="preserve">Engineer features:</w:t>
      </w:r>
      <w:r>
        <w:t xml:space="preserve"> create domain-relevant variables, including distance from the city center, area per room, and floor-position indicators.</w:t>
      </w:r>
    </w:p>
    <w:p>
      <w:pPr>
        <w:pStyle w:val="ListParagraph"/>
        <w:numPr>
          <w:ilvl w:val="0"/>
          <w:numId w:val="2"/>
        </w:numPr>
        <w:spacing w:after="100" w:line="300"/>
        <w:jc w:val="both"/>
      </w:pPr>
      <w:r>
        <w:rPr>
          <w:b/>
          <w:bCs/>
        </w:rPr>
        <w:t xml:space="preserve">Segment the market:</w:t>
      </w:r>
      <w:r>
        <w:t xml:space="preserve"> compare price per square meter across Tashkent's 12 districts to identify geographic pricing tiers.</w:t>
      </w:r>
    </w:p>
    <w:p>
      <w:pPr>
        <w:pStyle w:val="ListParagraph"/>
        <w:numPr>
          <w:ilvl w:val="0"/>
          <w:numId w:val="2"/>
        </w:numPr>
        <w:spacing w:after="100" w:line="300"/>
        <w:jc w:val="both"/>
      </w:pPr>
      <w:r>
        <w:rPr>
          <w:b/>
          <w:bCs/>
        </w:rPr>
        <w:t xml:space="preserve">Build an interpretable model:</w:t>
      </w:r>
      <w:r>
        <w:t xml:space="preserve"> train and validate an MLR model that explains more than 70% of price variance and gives an explicit dollar coefficient for every feature.</w:t>
      </w:r>
    </w:p>
    <w:p>
      <w:pPr>
        <w:pStyle w:val="ListParagraph"/>
        <w:numPr>
          <w:ilvl w:val="0"/>
          <w:numId w:val="2"/>
        </w:numPr>
        <w:spacing w:after="100" w:line="300"/>
        <w:jc w:val="both"/>
      </w:pPr>
      <w:r>
        <w:rPr>
          <w:b/>
          <w:bCs/>
        </w:rPr>
        <w:t xml:space="preserve">Deploy the model:</w:t>
      </w:r>
      <w:r>
        <w:t xml:space="preserve"> turn the fitted equation into a web application for real-time valuation.</w:t>
      </w:r>
    </w:p>
    <w:p>
      <w:pPr>
        <w:pStyle w:val="Heading1"/>
      </w:pPr>
      <w:r>
        <w:t xml:space="preserve">3. Methodology</w:t>
      </w:r>
    </w:p>
    <w:p>
      <w:pPr>
        <w:spacing w:after="140" w:before="0" w:line="300"/>
        <w:jc w:val="both"/>
      </w:pPr>
      <w:r>
        <w:t xml:space="preserve">The workflow followed a standard data science lifecycle: data acquisition, cleaning, feature engineering, categorical encoding, and model training and validation.</w:t>
      </w:r>
    </w:p>
    <w:p>
      <w:pPr>
        <w:pStyle w:val="Heading2"/>
      </w:pPr>
      <w:r>
        <w:t xml:space="preserve">3.1 Dataset Description</w:t>
      </w:r>
    </w:p>
    <w:p>
      <w:pPr>
        <w:keepNext/>
        <w:spacing w:after="140" w:before="0" w:line="300"/>
        <w:jc w:val="both"/>
      </w:pPr>
      <w:r>
        <w:t xml:space="preserve">The raw dataset (</w:t>
      </w:r>
      <w:r>
        <w:rPr>
          <w:rFonts w:ascii="Consolas" w:cs="Consolas" w:eastAsia="Consolas" w:hAnsi="Consolas"/>
          <w:sz w:val="22"/>
          <w:szCs w:val="22"/>
        </w:rPr>
        <w:t xml:space="preserve">uybor.xlsx</w:t>
      </w:r>
      <w:r>
        <w:t xml:space="preserve">) contains 7,421 residential apartment listings scraped from the property portal </w:t>
      </w:r>
      <w:r>
        <w:rPr>
          <w:rFonts w:ascii="Consolas" w:cs="Consolas" w:eastAsia="Consolas" w:hAnsi="Consolas"/>
          <w:sz w:val="22"/>
          <w:szCs w:val="22"/>
        </w:rPr>
        <w:t xml:space="preserve">uybor.uz</w:t>
      </w:r>
      <w:r>
        <w:t xml:space="preserve">. Each record has nine attributes (Table 1).</w:t>
      </w:r>
    </w:p>
    <w:p>
      <w:pPr>
        <w:keepNext/>
        <w:spacing w:after="80" w:before="160"/>
        <w:jc w:val="left"/>
      </w:pPr>
      <w:r>
        <w:rPr>
          <w:b/>
          <w:bCs/>
          <w:sz w:val="22"/>
          <w:szCs w:val="22"/>
        </w:rPr>
        <w:t xml:space="preserve">Table 1.</w:t>
      </w:r>
      <w:r>
        <w:rPr>
          <w:sz w:val="22"/>
          <w:szCs w:val="22"/>
        </w:rPr>
        <w:t xml:space="preserve"> Attributes of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Attribute</w:t>
            </w:r>
          </w:p>
        </w:tc>
        <w:tc>
          <w:tcPr>
            <w:tcW w:type="dxa" w:w="71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Description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address</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Text description of the street or neighborhood block</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district</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One of the 12 administrative districts of Tashkent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rooms</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Number of rooms (raw range: 1 to 10)</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size</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Total living area in m² (raw range: 14.0 to 456.0)</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level</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Floor on which the apartment is located</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max_levels</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Total number of floors in the building</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price</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Listed asking price in USD (raw range: $10,500 to $800,000)</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onsolas" w:cs="Consolas" w:eastAsia="Consolas" w:hAnsi="Consolas"/>
                <w:b w:val="false"/>
                <w:bCs w:val="false"/>
                <w:sz w:val="21"/>
                <w:szCs w:val="21"/>
              </w:rPr>
              <w:t xml:space="preserve">lat</w:t>
            </w:r>
            <w:r>
              <w:rPr>
                <w:b w:val="false"/>
                <w:bCs w:val="false"/>
                <w:sz w:val="21"/>
                <w:szCs w:val="21"/>
              </w:rPr>
              <w:t xml:space="preserve">, </w:t>
            </w:r>
            <w:r>
              <w:rPr>
                <w:rFonts w:ascii="Consolas" w:cs="Consolas" w:eastAsia="Consolas" w:hAnsi="Consolas"/>
                <w:b w:val="false"/>
                <w:bCs w:val="false"/>
                <w:sz w:val="21"/>
                <w:szCs w:val="21"/>
              </w:rPr>
              <w:t xml:space="preserve">lng</w:t>
            </w:r>
          </w:p>
        </w:tc>
        <w:tc>
          <w:tcPr>
            <w:tcW w:type="dxa" w:w="7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Geographic latitude and longitude of the property</w:t>
            </w:r>
          </w:p>
        </w:tc>
      </w:tr>
    </w:tbl>
    <w:p>
      <w:pPr>
        <w:spacing w:after="120"/>
      </w:pPr>
    </w:p>
    <w:p>
      <w:pPr>
        <w:pStyle w:val="Heading2"/>
      </w:pPr>
      <w:r>
        <w:t xml:space="preserve">3.2 Four-Stage Data Cleaning</w:t>
      </w:r>
    </w:p>
    <w:p>
      <w:pPr>
        <w:keepNext/>
        <w:spacing w:after="140" w:before="0" w:line="300"/>
        <w:jc w:val="both"/>
      </w:pPr>
      <w:r>
        <w:t xml:space="preserve">OLS minimizes the sum of squared residuals, Σ(yᵢ − ŷᵢ)², so it is highly sensitive to extreme outliers and corrupted records. The following four-stage cleaning protocol was applied:</w:t>
      </w:r>
    </w:p>
    <w:p>
      <w:pPr>
        <w:pStyle w:val="ListParagraph"/>
        <w:numPr>
          <w:ilvl w:val="0"/>
          <w:numId w:val="3"/>
        </w:numPr>
        <w:spacing w:after="100" w:line="300"/>
        <w:jc w:val="both"/>
      </w:pPr>
      <w:r>
        <w:rPr>
          <w:b/>
          <w:bCs/>
        </w:rPr>
        <w:t xml:space="preserve">Deduplication.</w:t>
      </w:r>
      <w:r>
        <w:t xml:space="preserve"> The audit found no missing values in any column, but 696 exact duplicate rows (caused by repeated listing uploads) were removed, leaving 6,725 unique listings.</w:t>
      </w:r>
    </w:p>
    <w:p>
      <w:pPr>
        <w:pStyle w:val="ListParagraph"/>
        <w:numPr>
          <w:ilvl w:val="0"/>
          <w:numId w:val="3"/>
        </w:numPr>
        <w:spacing w:after="100" w:line="300"/>
        <w:jc w:val="both"/>
      </w:pPr>
      <w:r>
        <w:rPr>
          <w:b/>
          <w:bCs/>
        </w:rPr>
        <w:t xml:space="preserve">Logical consistency.</w:t>
      </w:r>
      <w:r>
        <w:t xml:space="preserve"> Records were required to satisfy </w:t>
      </w:r>
      <w:r>
        <w:rPr>
          <w:rFonts w:ascii="Consolas" w:cs="Consolas" w:eastAsia="Consolas" w:hAnsi="Consolas"/>
          <w:sz w:val="22"/>
          <w:szCs w:val="22"/>
        </w:rPr>
        <w:t xml:space="preserve">level</w:t>
      </w:r>
      <w:r>
        <w:t xml:space="preserve"> ≤ </w:t>
      </w:r>
      <w:r>
        <w:rPr>
          <w:rFonts w:ascii="Consolas" w:cs="Consolas" w:eastAsia="Consolas" w:hAnsi="Consolas"/>
          <w:sz w:val="22"/>
          <w:szCs w:val="22"/>
        </w:rPr>
        <w:t xml:space="preserve">max_levels</w:t>
      </w:r>
      <w:r>
        <w:t xml:space="preserve">, which removed entries whose floor number exceeded the building height.</w:t>
      </w:r>
    </w:p>
    <w:p>
      <w:pPr>
        <w:pStyle w:val="ListParagraph"/>
        <w:numPr>
          <w:ilvl w:val="0"/>
          <w:numId w:val="3"/>
        </w:numPr>
        <w:spacing w:after="100" w:line="300"/>
        <w:jc w:val="both"/>
      </w:pPr>
      <w:r>
        <w:rPr>
          <w:b/>
          <w:bCs/>
        </w:rPr>
        <w:t xml:space="preserve">Room spaciousness.</w:t>
      </w:r>
      <w:r>
        <w:t xml:space="preserve"> Listings with implausible layouts were removed by requiring </w:t>
      </w:r>
      <w:r>
        <w:rPr>
          <w:rFonts w:ascii="Consolas" w:cs="Consolas" w:eastAsia="Consolas" w:hAnsi="Consolas"/>
          <w:sz w:val="22"/>
          <w:szCs w:val="22"/>
        </w:rPr>
        <w:t xml:space="preserve">size</w:t>
      </w:r>
      <w:r>
        <w:t xml:space="preserve"> / </w:t>
      </w:r>
      <w:r>
        <w:rPr>
          <w:rFonts w:ascii="Consolas" w:cs="Consolas" w:eastAsia="Consolas" w:hAnsi="Consolas"/>
          <w:sz w:val="22"/>
          <w:szCs w:val="22"/>
        </w:rPr>
        <w:t xml:space="preserve">rooms</w:t>
      </w:r>
      <w:r>
        <w:t xml:space="preserve"> ≥ 9.0 m² and </w:t>
      </w:r>
      <w:r>
        <w:rPr>
          <w:rFonts w:ascii="Consolas" w:cs="Consolas" w:eastAsia="Consolas" w:hAnsi="Consolas"/>
          <w:sz w:val="22"/>
          <w:szCs w:val="22"/>
        </w:rPr>
        <w:t xml:space="preserve">rooms</w:t>
      </w:r>
      <w:r>
        <w:t xml:space="preserve"> ≤ 6.</w:t>
      </w:r>
    </w:p>
    <w:p>
      <w:pPr>
        <w:pStyle w:val="ListParagraph"/>
        <w:numPr>
          <w:ilvl w:val="0"/>
          <w:numId w:val="3"/>
        </w:numPr>
        <w:spacing w:after="100" w:line="300"/>
        <w:jc w:val="both"/>
      </w:pPr>
      <w:r>
        <w:rPr>
          <w:b/>
          <w:bCs/>
        </w:rPr>
        <w:t xml:space="preserve">Outlier trimming.</w:t>
      </w:r>
      <w:r>
        <w:t xml:space="preserve"> Ultra-luxury and mispriced listings were trimmed by keeping observations between the 1st and 99th percentiles of </w:t>
      </w:r>
      <w:r>
        <w:rPr>
          <w:rFonts w:ascii="Consolas" w:cs="Consolas" w:eastAsia="Consolas" w:hAnsi="Consolas"/>
          <w:sz w:val="22"/>
          <w:szCs w:val="22"/>
        </w:rPr>
        <w:t xml:space="preserve">price</w:t>
      </w:r>
      <w:r>
        <w:t xml:space="preserve">, </w:t>
      </w:r>
      <w:r>
        <w:rPr>
          <w:rFonts w:ascii="Consolas" w:cs="Consolas" w:eastAsia="Consolas" w:hAnsi="Consolas"/>
          <w:sz w:val="22"/>
          <w:szCs w:val="22"/>
        </w:rPr>
        <w:t xml:space="preserve">size</w:t>
      </w:r>
      <w:r>
        <w:t xml:space="preserve">, and </w:t>
      </w:r>
      <w:r>
        <w:rPr>
          <w:rFonts w:ascii="Consolas" w:cs="Consolas" w:eastAsia="Consolas" w:hAnsi="Consolas"/>
          <w:sz w:val="22"/>
          <w:szCs w:val="22"/>
        </w:rPr>
        <w:t xml:space="preserve">price_per_sqm</w:t>
      </w:r>
      <w:r>
        <w:t xml:space="preserve">.</w:t>
      </w:r>
    </w:p>
    <w:p>
      <w:pPr>
        <w:spacing w:after="140" w:before="60" w:line="300"/>
        <w:jc w:val="both"/>
      </w:pPr>
      <w:r>
        <w:t xml:space="preserve">Stages 2 to 4 together removed a further 365 records, so the final analytical dataset contains </w:t>
      </w:r>
      <w:r>
        <w:rPr>
          <w:b/>
          <w:bCs/>
        </w:rPr>
        <w:t xml:space="preserve">6,360 verified apartment records</w:t>
      </w:r>
      <w:r>
        <w:t xml:space="preserve">.</w:t>
      </w:r>
    </w:p>
    <w:p>
      <w:pPr>
        <w:pStyle w:val="Heading2"/>
      </w:pPr>
      <w:r>
        <w:t xml:space="preserve">3.3 Feature Engineering and Encoding</w:t>
      </w:r>
    </w:p>
    <w:p>
      <w:pPr>
        <w:keepNext/>
        <w:spacing w:after="140" w:before="0" w:line="300"/>
        <w:jc w:val="both"/>
      </w:pPr>
      <w:r>
        <w:t xml:space="preserve">Five domain features were engineered to help the linear model capture spatial and structural effects:</w:t>
      </w:r>
    </w:p>
    <w:p>
      <w:pPr>
        <w:pStyle w:val="ListParagraph"/>
        <w:numPr>
          <w:ilvl w:val="0"/>
          <w:numId w:val="4"/>
        </w:numPr>
        <w:spacing w:after="80" w:line="300"/>
        <w:jc w:val="both"/>
      </w:pPr>
      <w:r>
        <w:rPr>
          <w:b/>
          <w:bCs/>
        </w:rPr>
        <w:t xml:space="preserve">Center proximity (`dist_from_center_km`):</w:t>
      </w:r>
      <w:r>
        <w:t xml:space="preserve"> the great-circle distance from each listing to Amir Temur Square (41.3111° N, 69.2797° E), computed with the Haversine formula:</w:t>
      </w:r>
    </w:p>
    <w:p>
      <w:pPr>
        <w:spacing w:after="160" w:before="80"/>
        <w:jc w:val="center"/>
      </w:pPr>
      <w:r>
        <w:rPr>
          <w:i/>
          <w:iCs/>
          <w:sz w:val="24"/>
          <w:szCs w:val="24"/>
        </w:rPr>
        <w:t xml:space="preserve">d = 2R · arcsin( √[ sin²(Δφ/2) + cos φ₁ · cos φ₂ · sin²(Δλ/2) ] )</w:t>
      </w:r>
    </w:p>
    <w:p>
      <w:pPr>
        <w:spacing w:after="140" w:before="0" w:line="300"/>
        <w:ind w:left="360"/>
        <w:jc w:val="both"/>
      </w:pPr>
      <w:r>
        <w:t xml:space="preserve">where φ is latitude, λ is longitude, and R = 6,371 km is the mean radius of the Earth.</w:t>
      </w:r>
    </w:p>
    <w:p>
      <w:pPr>
        <w:pStyle w:val="ListParagraph"/>
        <w:numPr>
          <w:ilvl w:val="0"/>
          <w:numId w:val="4"/>
        </w:numPr>
        <w:spacing w:after="80" w:line="300"/>
        <w:jc w:val="both"/>
      </w:pPr>
      <w:r>
        <w:rPr>
          <w:b/>
          <w:bCs/>
        </w:rPr>
        <w:t xml:space="preserve">Relative floor (`relative_floor`):</w:t>
      </w:r>
      <w:r>
        <w:t xml:space="preserve"> </w:t>
      </w:r>
      <w:r>
        <w:rPr>
          <w:rFonts w:ascii="Consolas" w:cs="Consolas" w:eastAsia="Consolas" w:hAnsi="Consolas"/>
          <w:sz w:val="22"/>
          <w:szCs w:val="22"/>
        </w:rPr>
        <w:t xml:space="preserve">level</w:t>
      </w:r>
      <w:r>
        <w:t xml:space="preserve"> / </w:t>
      </w:r>
      <w:r>
        <w:rPr>
          <w:rFonts w:ascii="Consolas" w:cs="Consolas" w:eastAsia="Consolas" w:hAnsi="Consolas"/>
          <w:sz w:val="22"/>
          <w:szCs w:val="22"/>
        </w:rPr>
        <w:t xml:space="preserve">max_levels</w:t>
      </w:r>
      <w:r>
        <w:t xml:space="preserve">, the vertical position of the unit within its building.</w:t>
      </w:r>
    </w:p>
    <w:p>
      <w:pPr>
        <w:pStyle w:val="ListParagraph"/>
        <w:numPr>
          <w:ilvl w:val="0"/>
          <w:numId w:val="4"/>
        </w:numPr>
        <w:spacing w:after="80" w:line="300"/>
        <w:jc w:val="both"/>
      </w:pPr>
      <w:r>
        <w:rPr>
          <w:b/>
          <w:bCs/>
        </w:rPr>
        <w:t xml:space="preserve">Boundary floor flags (`is_top_floor`, `is_first_floor`):</w:t>
      </w:r>
      <w:r>
        <w:t xml:space="preserve"> binary indicators for the uppermost and ground floors. In older housing stock, top-floor units often trade at a discount because of roof maintenance concerns.</w:t>
      </w:r>
    </w:p>
    <w:p>
      <w:pPr>
        <w:pStyle w:val="ListParagraph"/>
        <w:numPr>
          <w:ilvl w:val="0"/>
          <w:numId w:val="4"/>
        </w:numPr>
        <w:spacing w:after="80" w:line="300"/>
        <w:jc w:val="both"/>
      </w:pPr>
      <w:r>
        <w:rPr>
          <w:b/>
          <w:bCs/>
        </w:rPr>
        <w:t xml:space="preserve">Room spaciousness (`sqm_per_room`):</w:t>
      </w:r>
      <w:r>
        <w:t xml:space="preserve"> </w:t>
      </w:r>
      <w:r>
        <w:rPr>
          <w:rFonts w:ascii="Consolas" w:cs="Consolas" w:eastAsia="Consolas" w:hAnsi="Consolas"/>
          <w:sz w:val="22"/>
          <w:szCs w:val="22"/>
        </w:rPr>
        <w:t xml:space="preserve">size</w:t>
      </w:r>
      <w:r>
        <w:t xml:space="preserve"> / </w:t>
      </w:r>
      <w:r>
        <w:rPr>
          <w:rFonts w:ascii="Consolas" w:cs="Consolas" w:eastAsia="Consolas" w:hAnsi="Consolas"/>
          <w:sz w:val="22"/>
          <w:szCs w:val="22"/>
        </w:rPr>
        <w:t xml:space="preserve">rooms</w:t>
      </w:r>
      <w:r>
        <w:t xml:space="preserve">, which separates compact multi-room layouts from open, spacious ones.</w:t>
      </w:r>
    </w:p>
    <w:p>
      <w:pPr>
        <w:spacing w:after="140" w:before="80" w:line="300"/>
        <w:jc w:val="both"/>
      </w:pPr>
      <w:r>
        <w:t xml:space="preserve">In addition, the categorical </w:t>
      </w:r>
      <w:r>
        <w:rPr>
          <w:rFonts w:ascii="Consolas" w:cs="Consolas" w:eastAsia="Consolas" w:hAnsi="Consolas"/>
          <w:sz w:val="22"/>
          <w:szCs w:val="22"/>
        </w:rPr>
        <w:t xml:space="preserve">district</w:t>
      </w:r>
      <w:r>
        <w:t xml:space="preserve"> variable was one-hot encoded into 11 binary indicators (</w:t>
      </w:r>
      <w:r>
        <w:rPr>
          <w:rFonts w:ascii="Consolas" w:cs="Consolas" w:eastAsia="Consolas" w:hAnsi="Consolas"/>
          <w:sz w:val="22"/>
          <w:szCs w:val="22"/>
        </w:rPr>
        <w:t xml:space="preserve">drop_first=True</w:t>
      </w:r>
      <w:r>
        <w:t xml:space="preserve">). Dropping one category sets a baseline district and avoids perfect multicollinearity (the dummy variable trap). To prevent target leakage, the </w:t>
      </w:r>
      <w:r>
        <w:rPr>
          <w:rFonts w:ascii="Consolas" w:cs="Consolas" w:eastAsia="Consolas" w:hAnsi="Consolas"/>
          <w:sz w:val="22"/>
          <w:szCs w:val="22"/>
        </w:rPr>
        <w:t xml:space="preserve">address</w:t>
      </w:r>
      <w:r>
        <w:t xml:space="preserve"> string and </w:t>
      </w:r>
      <w:r>
        <w:rPr>
          <w:rFonts w:ascii="Consolas" w:cs="Consolas" w:eastAsia="Consolas" w:hAnsi="Consolas"/>
          <w:sz w:val="22"/>
          <w:szCs w:val="22"/>
        </w:rPr>
        <w:t xml:space="preserve">price_per_sqm</w:t>
      </w:r>
      <w:r>
        <w:t xml:space="preserve"> (whose numerator is the target </w:t>
      </w:r>
      <w:r>
        <w:rPr>
          <w:rFonts w:ascii="Consolas" w:cs="Consolas" w:eastAsia="Consolas" w:hAnsi="Consolas"/>
          <w:sz w:val="22"/>
          <w:szCs w:val="22"/>
        </w:rPr>
        <w:t xml:space="preserve">price</w:t>
      </w:r>
      <w:r>
        <w:t xml:space="preserve">) were excluded from the predictor matrix.</w:t>
      </w:r>
    </w:p>
    <w:p>
      <w:pPr>
        <w:pStyle w:val="Heading2"/>
      </w:pPr>
      <w:r>
        <w:t xml:space="preserve">3.4 Multiple Linear Regression Model</w:t>
      </w:r>
    </w:p>
    <w:p>
      <w:pPr>
        <w:keepNext/>
        <w:spacing w:after="140" w:before="0" w:line="300"/>
        <w:jc w:val="both"/>
      </w:pPr>
      <w:r>
        <w:t xml:space="preserve">The target variable y (apartment price in USD) is modeled as a linear combination of k input features:</w:t>
      </w:r>
    </w:p>
    <w:p>
      <w:pPr>
        <w:spacing w:after="160" w:before="80"/>
        <w:jc w:val="center"/>
      </w:pPr>
      <w:r>
        <w:rPr>
          <w:i/>
          <w:iCs/>
          <w:sz w:val="24"/>
          <w:szCs w:val="24"/>
        </w:rPr>
        <w:t xml:space="preserve">y = β₀ + β₁x₁ + β₂x₂ + … + βₖxₖ + ε</w:t>
      </w:r>
    </w:p>
    <w:p>
      <w:pPr>
        <w:spacing w:after="140" w:before="0" w:line="300"/>
        <w:jc w:val="both"/>
      </w:pPr>
      <w:r>
        <w:t xml:space="preserve">where β₀ is the intercept, βᵢ is the marginal dollar impact of feature xᵢ with all other variables held constant, and ε is the residual error. Predictions are given by ŷ = β₀ + β₁x₁ + … + βₖxₖ. The data were split into 80% training (5,088 records) and 20% testing (1,272 records) sets with a fixed random seed (</w:t>
      </w:r>
      <w:r>
        <w:rPr>
          <w:rFonts w:ascii="Consolas" w:cs="Consolas" w:eastAsia="Consolas" w:hAnsi="Consolas"/>
          <w:sz w:val="22"/>
          <w:szCs w:val="22"/>
        </w:rPr>
        <w:t xml:space="preserve">random_state=42</w:t>
      </w:r>
      <w:r>
        <w:t xml:space="preserve">), and 5-fold cross-validation was used as an additional check.</w:t>
      </w:r>
    </w:p>
    <w:p>
      <w:pPr>
        <w:pStyle w:val="Heading1"/>
      </w:pPr>
      <w:r>
        <w:t xml:space="preserve">4. Results and Analysis</w:t>
      </w:r>
    </w:p>
    <w:p>
      <w:pPr>
        <w:pStyle w:val="Heading2"/>
      </w:pPr>
      <w:r>
        <w:t xml:space="preserve">4.1 Exploratory Data Analysis</w:t>
      </w:r>
    </w:p>
    <w:p>
      <w:pPr>
        <w:keepNext/>
        <w:spacing w:after="140" w:before="0" w:line="300"/>
        <w:jc w:val="both"/>
      </w:pPr>
      <w:r>
        <w:t xml:space="preserve">Exploratory analysis of the 6,360 cleaned listings revealed clear structural and geographic patterns.</w:t>
      </w:r>
    </w:p>
    <w:p>
      <w:pPr>
        <w:pStyle w:val="ListParagraph"/>
        <w:numPr>
          <w:ilvl w:val="0"/>
          <w:numId w:val="4"/>
        </w:numPr>
        <w:spacing w:after="80" w:line="300"/>
        <w:jc w:val="both"/>
      </w:pPr>
      <w:r>
        <w:rPr>
          <w:b/>
          <w:bCs/>
        </w:rPr>
        <w:t xml:space="preserve">Correlations.</w:t>
      </w:r>
      <w:r>
        <w:t xml:space="preserve"> Living area (</w:t>
      </w:r>
      <w:r>
        <w:rPr>
          <w:rFonts w:ascii="Consolas" w:cs="Consolas" w:eastAsia="Consolas" w:hAnsi="Consolas"/>
          <w:sz w:val="22"/>
          <w:szCs w:val="22"/>
        </w:rPr>
        <w:t xml:space="preserve">size</w:t>
      </w:r>
      <w:r>
        <w:t xml:space="preserve">) has the strongest positive linear relationship with price (r = 0.81). The number of rooms is also positively correlated (r = 0.62), largely because it is collinear with area. Distance from Amir Temur Square is negatively correlated with price (r = −0.34), so values decline as one moves away from the urban core.</w:t>
      </w:r>
    </w:p>
    <w:p>
      <w:pPr>
        <w:pStyle w:val="ListParagraph"/>
        <w:numPr>
          <w:ilvl w:val="0"/>
          <w:numId w:val="4"/>
        </w:numPr>
        <w:spacing w:after="80" w:line="300"/>
        <w:jc w:val="both"/>
      </w:pPr>
      <w:r>
        <w:rPr>
          <w:b/>
          <w:bCs/>
        </w:rPr>
        <w:t xml:space="preserve">Geographic segmentation.</w:t>
      </w:r>
      <w:r>
        <w:t xml:space="preserve"> The mean price per square meter across districts reveals a three-tier hierarchy (Table 2).</w:t>
      </w:r>
    </w:p>
    <w:p>
      <w:pPr>
        <w:keepNext/>
        <w:spacing w:after="80" w:before="160"/>
        <w:jc w:val="left"/>
      </w:pPr>
      <w:r>
        <w:rPr>
          <w:b/>
          <w:bCs/>
          <w:sz w:val="22"/>
          <w:szCs w:val="22"/>
        </w:rPr>
        <w:t xml:space="preserve">Table 2.</w:t>
      </w:r>
      <w:r>
        <w:rPr>
          <w:sz w:val="22"/>
          <w:szCs w:val="22"/>
        </w:rPr>
        <w:t xml:space="preserve"> Market tiers by average price per m²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700"/>
        <w:gridCol w:w="232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Market tier</w:t>
            </w:r>
          </w:p>
        </w:tc>
        <w:tc>
          <w:tcPr>
            <w:tcW w:type="dxa" w:w="2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District</w:t>
            </w:r>
          </w:p>
        </w:tc>
        <w:tc>
          <w:tcPr>
            <w:tcW w:type="dxa" w:w="1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Avg. price per m² (USD)</w:t>
            </w:r>
          </w:p>
        </w:tc>
        <w:tc>
          <w:tcPr>
            <w:tcW w:type="dxa" w:w="23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Characteristics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1</w:t>
            </w:r>
            <w:r>
              <w:rPr>
                <w:b w:val="false"/>
                <w:bCs w:val="false"/>
                <w:sz w:val="21"/>
                <w:szCs w:val="21"/>
              </w:rPr>
              <w:t xml:space="preserve"> (Premium central)</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Mirobod</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$965</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Executive core, modern luxury developments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1</w:t>
            </w:r>
            <w:r>
              <w:rPr>
                <w:b w:val="false"/>
                <w:bCs w:val="false"/>
                <w:sz w:val="21"/>
                <w:szCs w:val="21"/>
              </w:rPr>
              <w:t xml:space="preserve"> (Premium central)</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Yakkasaroy</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$915</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High-demand central and diplomatic zone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1</w:t>
            </w:r>
            <w:r>
              <w:rPr>
                <w:b w:val="false"/>
                <w:bCs w:val="false"/>
                <w:sz w:val="21"/>
                <w:szCs w:val="21"/>
              </w:rPr>
              <w:t xml:space="preserve"> (Premium central)</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Mirzo Ulugbek</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$842</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Prestigious north-eastern district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1</w:t>
            </w:r>
            <w:r>
              <w:rPr>
                <w:b w:val="false"/>
                <w:bCs w:val="false"/>
                <w:sz w:val="21"/>
                <w:szCs w:val="21"/>
              </w:rPr>
              <w:t xml:space="preserve"> (Premium central)</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Shayhontohur</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$830</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Historic and commercial center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2</w:t>
            </w:r>
            <w:r>
              <w:rPr>
                <w:b w:val="false"/>
                <w:bCs w:val="false"/>
                <w:sz w:val="21"/>
                <w:szCs w:val="21"/>
              </w:rPr>
              <w:t xml:space="preserve"> (Mid-market)</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Yunusobod</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$795</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Popular northern residential hub</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2</w:t>
            </w:r>
            <w:r>
              <w:rPr>
                <w:b w:val="false"/>
                <w:bCs w:val="false"/>
                <w:sz w:val="21"/>
                <w:szCs w:val="21"/>
              </w:rPr>
              <w:t xml:space="preserve"> (Mid-market)</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Chilonzor</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$745</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Highest listing volume, active secondary market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2</w:t>
            </w:r>
            <w:r>
              <w:rPr>
                <w:b w:val="false"/>
                <w:bCs w:val="false"/>
                <w:sz w:val="21"/>
                <w:szCs w:val="21"/>
              </w:rPr>
              <w:t xml:space="preserve"> (Mid-market)</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Olmazor, Uchtepa, Yashnobod</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$685 – $710</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Dense family residential areas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bCs/>
                <w:sz w:val="21"/>
                <w:szCs w:val="21"/>
              </w:rPr>
              <w:t xml:space="preserve">Tier 3</w:t>
            </w:r>
            <w:r>
              <w:rPr>
                <w:b w:val="false"/>
                <w:bCs w:val="false"/>
                <w:sz w:val="21"/>
                <w:szCs w:val="21"/>
              </w:rPr>
              <w:t xml:space="preserve"> (Affordable outer)</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Sergeli, Yangihayot, Bektemir</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$540 – $590</w:t>
            </w:r>
          </w:p>
        </w:tc>
        <w:tc>
          <w:tcPr>
            <w:tcW w:type="dxa" w:w="2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Developing southern and industrial periphery</w:t>
            </w:r>
          </w:p>
        </w:tc>
      </w:tr>
    </w:tbl>
    <w:p>
      <w:pPr>
        <w:spacing w:after="120"/>
      </w:pPr>
    </w:p>
    <w:p>
      <w:pPr>
        <w:pStyle w:val="Heading2"/>
      </w:pPr>
      <w:r>
        <w:t xml:space="preserve">4.2 Model Evaluation</w:t>
      </w:r>
    </w:p>
    <w:p>
      <w:pPr>
        <w:keepNext/>
        <w:spacing w:after="140" w:before="0" w:line="300"/>
        <w:jc w:val="both"/>
      </w:pPr>
      <w:r>
        <w:t xml:space="preserve">The model was evaluated on the unseen 20% test set (1,272 apartments). Table 3 summarizes its performance.</w:t>
      </w:r>
    </w:p>
    <w:p>
      <w:pPr>
        <w:keepNext/>
        <w:spacing w:after="80" w:before="160"/>
        <w:jc w:val="left"/>
      </w:pPr>
      <w:r>
        <w:rPr>
          <w:b/>
          <w:bCs/>
          <w:sz w:val="22"/>
          <w:szCs w:val="22"/>
        </w:rPr>
        <w:t xml:space="preserve">Table 3.</w:t>
      </w:r>
      <w:r>
        <w:rPr>
          <w:sz w:val="22"/>
          <w:szCs w:val="22"/>
        </w:rPr>
        <w:t xml:space="preserve"> Model 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26"/>
      </w:tblGrid>
      <w:tr>
        <w:trPr>
          <w:cantSplit/>
          <w:tblHeader/>
        </w:trPr>
        <w:tc>
          <w:tcPr>
            <w:tcW w:type="dxa" w:w="2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Metric</w:t>
            </w:r>
          </w:p>
        </w:tc>
        <w:tc>
          <w:tcPr>
            <w:tcW w:type="dxa" w:w="1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Value</w:t>
            </w:r>
          </w:p>
        </w:tc>
        <w:tc>
          <w:tcPr>
            <w:tcW w:type="dxa" w:w="48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Interpretation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Training R²</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0.746</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Explains 74.6% of price variance on training data</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Testing R²</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0.742</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Explains 74.2% of price variance on unseen data</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5-fold cross-validated R²</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0.738</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Consistent with the train/test results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Mean Absolute Error (MAE)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$8,900</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Average absolute difference between actual and predicted price</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Root Mean Squared Error (RMSE)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$12,450</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Square root of the mean squared error; penalizes large errors more heavily</w:t>
            </w:r>
          </w:p>
        </w:tc>
      </w:tr>
    </w:tbl>
    <w:p>
      <w:pPr>
        <w:spacing w:after="140" w:before="160" w:line="300"/>
        <w:jc w:val="both"/>
      </w:pPr>
      <w:r>
        <w:t xml:space="preserve">The close agreement between training R² (0.746), testing R² (0.742), and cross-validated R² (0.738) shows no sign of overfitting, indicating that the model generalizes well to unseen listings.</w:t>
      </w:r>
    </w:p>
    <w:p>
      <w:pPr>
        <w:pStyle w:val="Heading2"/>
      </w:pPr>
      <w:r>
        <w:t xml:space="preserve">4.3 Interpretation of Regression Coefficients</w:t>
      </w:r>
    </w:p>
    <w:p>
      <w:pPr>
        <w:keepNext/>
        <w:spacing w:after="140" w:before="0" w:line="300"/>
        <w:jc w:val="both"/>
      </w:pPr>
      <w:r>
        <w:t xml:space="preserve">Because the model was fitted on unscaled features, each coefficient (βᵢ) can be read directly in USD (Table 4). These coefficients describe statistical associations in listing data, not causal effects.</w:t>
      </w:r>
    </w:p>
    <w:p>
      <w:pPr>
        <w:keepNext/>
        <w:spacing w:after="80" w:before="160"/>
        <w:jc w:val="left"/>
      </w:pPr>
      <w:r>
        <w:rPr>
          <w:b/>
          <w:bCs/>
          <w:sz w:val="22"/>
          <w:szCs w:val="22"/>
        </w:rPr>
        <w:t xml:space="preserve">Table 4.</w:t>
      </w:r>
      <w:r>
        <w:rPr>
          <w:sz w:val="22"/>
          <w:szCs w:val="22"/>
        </w:rPr>
        <w:t xml:space="preserve"> Selected regression coefficients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026"/>
      </w:tblGrid>
      <w:tr>
        <w:trPr>
          <w:cantSplit/>
          <w:tblHeader/>
        </w:trPr>
        <w:tc>
          <w:tcPr>
            <w:tcW w:type="dxa" w:w="3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Feature</w:t>
            </w:r>
          </w:p>
        </w:tc>
        <w:tc>
          <w:tcPr>
            <w:tcW w:type="dxa" w:w="1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Coefficient</w:t>
            </w:r>
          </w:p>
        </w:tc>
        <w:tc>
          <w:tcPr>
            <w:tcW w:type="dxa" w:w="40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Interpretation (other variables held constant)</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Total area (</w:t>
            </w:r>
            <w:r>
              <w:rPr>
                <w:rFonts w:ascii="Consolas" w:cs="Consolas" w:eastAsia="Consolas" w:hAnsi="Consolas"/>
                <w:b w:val="false"/>
                <w:bCs w:val="false"/>
                <w:sz w:val="21"/>
                <w:szCs w:val="21"/>
              </w:rPr>
              <w:t xml:space="preserve">size</w:t>
            </w:r>
            <w:r>
              <w:rPr>
                <w:b w:val="false"/>
                <w:bCs w:val="false"/>
                <w:sz w:val="21"/>
                <w:szCs w:val="21"/>
              </w:rPr>
              <w:t xml:space="preser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+$868.50 / m²</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Value added by each extra square meter</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District: Mirobod</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+$11,850</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Location premium relative to the baseline district</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District: Yakkasaroy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+$9,200</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Central residential location premium</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District: Mirzo Ulugbek</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+$6,450</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North-eastern location premium</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Distance to center (</w:t>
            </w:r>
            <w:r>
              <w:rPr>
                <w:rFonts w:ascii="Consolas" w:cs="Consolas" w:eastAsia="Consolas" w:hAnsi="Consolas"/>
                <w:b w:val="false"/>
                <w:bCs w:val="false"/>
                <w:sz w:val="21"/>
                <w:szCs w:val="21"/>
              </w:rPr>
              <w:t xml:space="preserve">dist_from_center_km</w:t>
            </w:r>
            <w:r>
              <w:rPr>
                <w:b w:val="false"/>
                <w:bCs w:val="false"/>
                <w:sz w:val="21"/>
                <w:szCs w:val="21"/>
              </w:rPr>
              <w:t xml:space="preser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−$1,620 / km</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Price reduction per km from Amir Temur Square</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Top floor (</w:t>
            </w:r>
            <w:r>
              <w:rPr>
                <w:rFonts w:ascii="Consolas" w:cs="Consolas" w:eastAsia="Consolas" w:hAnsi="Consolas"/>
                <w:b w:val="false"/>
                <w:bCs w:val="false"/>
                <w:sz w:val="21"/>
                <w:szCs w:val="21"/>
              </w:rPr>
              <w:t xml:space="preserve">is_top_floor</w:t>
            </w:r>
            <w:r>
              <w:rPr>
                <w:b w:val="false"/>
                <w:bCs w:val="false"/>
                <w:sz w:val="21"/>
                <w:szCs w:val="21"/>
              </w:rPr>
              <w:t xml:space="preser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−$2,450</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Discount for the uppermost floor</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First floor (</w:t>
            </w:r>
            <w:r>
              <w:rPr>
                <w:rFonts w:ascii="Consolas" w:cs="Consolas" w:eastAsia="Consolas" w:hAnsi="Consolas"/>
                <w:b w:val="false"/>
                <w:bCs w:val="false"/>
                <w:sz w:val="21"/>
                <w:szCs w:val="21"/>
              </w:rPr>
              <w:t xml:space="preserve">is_first_floor</w:t>
            </w:r>
            <w:r>
              <w:rPr>
                <w:b w:val="false"/>
                <w:bCs w:val="false"/>
                <w:sz w:val="21"/>
                <w:szCs w:val="21"/>
              </w:rPr>
              <w:t xml:space="preser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−$1,350</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Discount for ground-floor units</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Rooms (</w:t>
            </w:r>
            <w:r>
              <w:rPr>
                <w:rFonts w:ascii="Consolas" w:cs="Consolas" w:eastAsia="Consolas" w:hAnsi="Consolas"/>
                <w:b w:val="false"/>
                <w:bCs w:val="false"/>
                <w:sz w:val="21"/>
                <w:szCs w:val="21"/>
              </w:rPr>
              <w:t xml:space="preserve">rooms</w:t>
            </w:r>
            <w:r>
              <w:rPr>
                <w:b w:val="false"/>
                <w:bCs w:val="false"/>
                <w:sz w:val="21"/>
                <w:szCs w:val="21"/>
              </w:rPr>
              <w:t xml:space="preser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−$1,680 / room</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Read together with </w:t>
            </w:r>
            <w:r>
              <w:rPr>
                <w:rFonts w:ascii="Consolas" w:cs="Consolas" w:eastAsia="Consolas" w:hAnsi="Consolas"/>
                <w:b w:val="false"/>
                <w:bCs w:val="false"/>
                <w:sz w:val="21"/>
                <w:szCs w:val="21"/>
              </w:rPr>
              <w:t xml:space="preserve">sqm_per_room</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Area per room (</w:t>
            </w:r>
            <w:r>
              <w:rPr>
                <w:rFonts w:ascii="Consolas" w:cs="Consolas" w:eastAsia="Consolas" w:hAnsi="Consolas"/>
                <w:b w:val="false"/>
                <w:bCs w:val="false"/>
                <w:sz w:val="21"/>
                <w:szCs w:val="21"/>
              </w:rPr>
              <w:t xml:space="preserve">sqm_per_room</w:t>
            </w:r>
            <w:r>
              <w:rPr>
                <w:b w:val="false"/>
                <w:bCs w:val="false"/>
                <w:sz w:val="21"/>
                <w:szCs w:val="21"/>
              </w:rPr>
              <w:t xml:space="preser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+$165 / m²</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Premium for more spacious rooms</w:t>
            </w:r>
          </w:p>
        </w:tc>
      </w:tr>
    </w:tbl>
    <w:p>
      <w:pPr>
        <w:spacing w:after="140" w:before="160" w:line="300"/>
        <w:jc w:val="both"/>
      </w:pPr>
      <w:r>
        <w:t xml:space="preserve">The coefficients for </w:t>
      </w:r>
      <w:r>
        <w:rPr>
          <w:rFonts w:ascii="Consolas" w:cs="Consolas" w:eastAsia="Consolas" w:hAnsi="Consolas"/>
          <w:sz w:val="22"/>
          <w:szCs w:val="22"/>
        </w:rPr>
        <w:t xml:space="preserve">rooms</w:t>
      </w:r>
      <w:r>
        <w:t xml:space="preserve"> and </w:t>
      </w:r>
      <w:r>
        <w:rPr>
          <w:rFonts w:ascii="Consolas" w:cs="Consolas" w:eastAsia="Consolas" w:hAnsi="Consolas"/>
          <w:sz w:val="22"/>
          <w:szCs w:val="22"/>
        </w:rPr>
        <w:t xml:space="preserve">sqm_per_room</w:t>
      </w:r>
      <w:r>
        <w:t xml:space="preserve"> must be read together, because </w:t>
      </w:r>
      <w:r>
        <w:rPr>
          <w:rFonts w:ascii="Consolas" w:cs="Consolas" w:eastAsia="Consolas" w:hAnsi="Consolas"/>
          <w:sz w:val="22"/>
          <w:szCs w:val="22"/>
        </w:rPr>
        <w:t xml:space="preserve">sqm_per_room</w:t>
      </w:r>
      <w:r>
        <w:t xml:space="preserve"> = </w:t>
      </w:r>
      <w:r>
        <w:rPr>
          <w:rFonts w:ascii="Consolas" w:cs="Consolas" w:eastAsia="Consolas" w:hAnsi="Consolas"/>
          <w:sz w:val="22"/>
          <w:szCs w:val="22"/>
        </w:rPr>
        <w:t xml:space="preserve">size</w:t>
      </w:r>
      <w:r>
        <w:t xml:space="preserve"> / </w:t>
      </w:r>
      <w:r>
        <w:rPr>
          <w:rFonts w:ascii="Consolas" w:cs="Consolas" w:eastAsia="Consolas" w:hAnsi="Consolas"/>
          <w:sz w:val="22"/>
          <w:szCs w:val="22"/>
        </w:rPr>
        <w:t xml:space="preserve">rooms</w:t>
      </w:r>
      <w:r>
        <w:t xml:space="preserve"> is itself a function of the other two variables and cannot stay fixed when the room count changes. Consider a 75 m² apartment split into four rooms instead of two. Area per room falls from 37.5 m² to 18.75 m², so the model's combined effect is 2 × (−$1,680) + (−18.75) × $165 ≈ −$6,454. The model therefore penalizes dividing a fixed floor area into more, smaller rooms, which is consistent with buyers' preference for spacious layouts.</w:t>
      </w:r>
    </w:p>
    <w:p>
      <w:pPr>
        <w:pStyle w:val="Heading2"/>
      </w:pPr>
      <w:r>
        <w:t xml:space="preserve">4.4 Practical Scenario Testing and Deployment</w:t>
      </w:r>
    </w:p>
    <w:p>
      <w:pPr>
        <w:keepNext/>
        <w:spacing w:after="140" w:before="0" w:line="300"/>
        <w:jc w:val="both"/>
      </w:pPr>
      <w:r>
        <w:t xml:space="preserve">To check the model's practical behavior, three representative apartment profiles were evaluated with the interactive predictor application (Table 5).</w:t>
      </w:r>
    </w:p>
    <w:p>
      <w:pPr>
        <w:keepNext/>
        <w:spacing w:after="80" w:before="160"/>
        <w:jc w:val="left"/>
      </w:pPr>
      <w:r>
        <w:rPr>
          <w:b/>
          <w:bCs/>
          <w:sz w:val="22"/>
          <w:szCs w:val="22"/>
        </w:rPr>
        <w:t xml:space="preserve">Table 5.</w:t>
      </w:r>
      <w:r>
        <w:rPr>
          <w:sz w:val="22"/>
          <w:szCs w:val="22"/>
        </w:rPr>
        <w:t xml:space="preserve"> Predicted prices for three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1100"/>
        <w:gridCol w:w="1100"/>
        <w:gridCol w:w="1926"/>
        <w:gridCol w:w="130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w:t>
            </w:r>
          </w:p>
        </w:tc>
        <w:tc>
          <w:tcPr>
            <w:tcW w:type="dxa" w:w="1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District</w:t>
            </w:r>
          </w:p>
        </w:tc>
        <w:tc>
          <w:tcPr>
            <w:tcW w:type="dxa" w:w="1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Rooms</w:t>
            </w:r>
          </w:p>
        </w:tc>
        <w:tc>
          <w:tcPr>
            <w:tcW w:type="dxa" w:w="1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Area</w:t>
            </w:r>
          </w:p>
        </w:tc>
        <w:tc>
          <w:tcPr>
            <w:tcW w:type="dxa" w:w="1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Floor</w:t>
            </w:r>
          </w:p>
        </w:tc>
        <w:tc>
          <w:tcPr>
            <w:tcW w:type="dxa" w:w="19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Predicted price</w:t>
            </w:r>
          </w:p>
        </w:tc>
        <w:tc>
          <w:tcPr>
            <w:tcW w:type="dxa" w:w="1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jc w:val="center"/>
            </w:pPr>
            <w:r>
              <w:rPr>
                <w:b/>
                <w:bCs/>
                <w:sz w:val="21"/>
                <w:szCs w:val="21"/>
              </w:rPr>
              <w:t xml:space="preserve">$ / m²</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1</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Mirzo Ulugbek</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3</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75 m²</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4 / 9</w:t>
            </w:r>
          </w:p>
        </w:tc>
        <w:tc>
          <w:tcPr>
            <w:tcW w:type="dxa" w:w="1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$65,185</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$869</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Yakkasaroy</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65 m²</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3 / 5</w:t>
            </w:r>
          </w:p>
        </w:tc>
        <w:tc>
          <w:tcPr>
            <w:tcW w:type="dxa" w:w="1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$59,610</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$917</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3</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b w:val="false"/>
                <w:bCs w:val="false"/>
                <w:sz w:val="21"/>
                <w:szCs w:val="21"/>
              </w:rPr>
              <w:t xml:space="preserve">Chilonzor</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55 m²</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2 / 4</w:t>
            </w:r>
          </w:p>
        </w:tc>
        <w:tc>
          <w:tcPr>
            <w:tcW w:type="dxa" w:w="1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$40,540</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b w:val="false"/>
                <w:bCs w:val="false"/>
                <w:sz w:val="21"/>
                <w:szCs w:val="21"/>
              </w:rPr>
              <w:t xml:space="preserve">$737</w:t>
            </w:r>
          </w:p>
        </w:tc>
      </w:tr>
    </w:tbl>
    <w:p>
      <w:pPr>
        <w:spacing w:after="140" w:before="160" w:line="300"/>
        <w:jc w:val="both"/>
      </w:pPr>
      <w:r>
        <w:t xml:space="preserve">Scenario 1 is a spacious mid-floor unit in a high-demand district. Scenario 2 is priced high per square meter because of its proximity to the center (3.29 km). Scenario 3 is an affordable mid-market unit farther from the center (7.46 km). All three results are consistent with the district tiers in Table 2.</w:t>
      </w:r>
    </w:p>
    <w:p>
      <w:pPr>
        <w:pStyle w:val="Heading1"/>
      </w:pPr>
      <w:r>
        <w:t xml:space="preserve">5. Conclusion, Limitations, and Future Work</w:t>
      </w:r>
    </w:p>
    <w:p>
      <w:pPr>
        <w:pStyle w:val="Heading2"/>
      </w:pPr>
      <w:r>
        <w:t xml:space="preserve">5.1 Conclusion</w:t>
      </w:r>
    </w:p>
    <w:p>
      <w:pPr>
        <w:spacing w:after="140" w:before="0" w:line="300"/>
        <w:jc w:val="both"/>
      </w:pPr>
      <w:r>
        <w:t xml:space="preserve">This project built an end-to-end data analysis and machine learning pipeline for the Tashkent housing market. After cleaning 7,421 scraped listings and engineering spatial and structural features, the team trained a Multiple Linear Regression model that explains 74.2% of the variance in apartment prices on unseen data. The results indicate that living area, proximity to Amir Temur Square, district, and floor position are the main quantitative determinants of apartment prices in Tashkent. Deploying the trained model as an interactive web application showed that the approach is practical for homebuyers and market analysts as well as theoretically sound.</w:t>
      </w:r>
    </w:p>
    <w:p>
      <w:pPr>
        <w:pStyle w:val="Heading2"/>
      </w:pPr>
      <w:r>
        <w:t xml:space="preserve">5.2 Limitations</w:t>
      </w:r>
    </w:p>
    <w:p>
      <w:pPr>
        <w:keepNext/>
        <w:spacing w:after="140" w:before="0" w:line="300"/>
        <w:jc w:val="both"/>
      </w:pPr>
      <w:r>
        <w:t xml:space="preserve">Several limitations account for the remaining 25.8% of unexplained variance and affect how the results should be used:</w:t>
      </w:r>
    </w:p>
    <w:p>
      <w:pPr>
        <w:pStyle w:val="ListParagraph"/>
        <w:numPr>
          <w:ilvl w:val="0"/>
          <w:numId w:val="5"/>
        </w:numPr>
        <w:spacing w:after="100" w:line="300"/>
        <w:jc w:val="both"/>
      </w:pPr>
      <w:r>
        <w:rPr>
          <w:b/>
          <w:bCs/>
        </w:rPr>
        <w:t xml:space="preserve">Missing qualitative attributes.</w:t>
      </w:r>
      <w:r>
        <w:t xml:space="preserve"> The dataset lacks renovation state, construction material (brick, monolithic, or Soviet panel), year of construction, and proximity to metro stations.</w:t>
      </w:r>
    </w:p>
    <w:p>
      <w:pPr>
        <w:pStyle w:val="ListParagraph"/>
        <w:numPr>
          <w:ilvl w:val="0"/>
          <w:numId w:val="5"/>
        </w:numPr>
        <w:spacing w:after="100" w:line="300"/>
        <w:jc w:val="both"/>
      </w:pPr>
      <w:r>
        <w:rPr>
          <w:b/>
          <w:bCs/>
        </w:rPr>
        <w:t xml:space="preserve">Linearity assumption.</w:t>
      </w:r>
      <w:r>
        <w:t xml:space="preserve"> OLS assumes price scales linearly with area and distance, whereas real spatial value follows non-linear patterns around commercial hubs, parks, and transit corridors.</w:t>
      </w:r>
    </w:p>
    <w:p>
      <w:pPr>
        <w:pStyle w:val="ListParagraph"/>
        <w:numPr>
          <w:ilvl w:val="0"/>
          <w:numId w:val="5"/>
        </w:numPr>
        <w:spacing w:after="100" w:line="300"/>
        <w:jc w:val="both"/>
      </w:pPr>
      <w:r>
        <w:rPr>
          <w:b/>
          <w:bCs/>
        </w:rPr>
        <w:t xml:space="preserve">Asking versus transaction prices.</w:t>
      </w:r>
      <w:r>
        <w:t xml:space="preserve"> The data are seller asking prices, not final negotiated prices, which likely biases predictions upward.</w:t>
      </w:r>
    </w:p>
    <w:p>
      <w:pPr>
        <w:pStyle w:val="ListParagraph"/>
        <w:numPr>
          <w:ilvl w:val="0"/>
          <w:numId w:val="5"/>
        </w:numPr>
        <w:spacing w:after="100" w:line="300"/>
        <w:jc w:val="both"/>
      </w:pPr>
      <w:r>
        <w:rPr>
          <w:b/>
          <w:bCs/>
        </w:rPr>
        <w:t xml:space="preserve">Restricted range.</w:t>
      </w:r>
      <w:r>
        <w:t xml:space="preserve"> Trimming the extreme 1% tails of price, size, and price per square meter means the model is intended for typical apartments and should not be used for luxury or very small units.</w:t>
      </w:r>
    </w:p>
    <w:p>
      <w:pPr>
        <w:pStyle w:val="ListParagraph"/>
        <w:numPr>
          <w:ilvl w:val="0"/>
          <w:numId w:val="5"/>
        </w:numPr>
        <w:spacing w:after="100" w:line="300"/>
        <w:jc w:val="both"/>
      </w:pPr>
      <w:r>
        <w:rPr>
          <w:b/>
          <w:bCs/>
        </w:rPr>
        <w:t xml:space="preserve">Association, not causation.</w:t>
      </w:r>
      <w:r>
        <w:t xml:space="preserve"> The coefficients describe patterns in listing data and should not be read as the causal effect of changing a feature.</w:t>
      </w:r>
    </w:p>
    <w:p>
      <w:pPr>
        <w:pStyle w:val="Heading2"/>
      </w:pPr>
      <w:r>
        <w:t xml:space="preserve">5.3 Future Work</w:t>
      </w:r>
    </w:p>
    <w:p>
      <w:pPr>
        <w:pStyle w:val="ListParagraph"/>
        <w:numPr>
          <w:ilvl w:val="0"/>
          <w:numId w:val="4"/>
        </w:numPr>
        <w:spacing w:after="80" w:line="300"/>
        <w:jc w:val="both"/>
      </w:pPr>
      <w:r>
        <w:rPr>
          <w:b/>
          <w:bCs/>
        </w:rPr>
        <w:t xml:space="preserve">Richer features:</w:t>
      </w:r>
      <w:r>
        <w:t xml:space="preserve"> collect renovation condition, building material, and distance to the nearest metro station, which could reduce the residual error (MAE).</w:t>
      </w:r>
    </w:p>
    <w:p>
      <w:pPr>
        <w:pStyle w:val="ListParagraph"/>
        <w:numPr>
          <w:ilvl w:val="0"/>
          <w:numId w:val="4"/>
        </w:numPr>
        <w:spacing w:after="80" w:line="300"/>
        <w:jc w:val="both"/>
      </w:pPr>
      <w:r>
        <w:rPr>
          <w:b/>
          <w:bCs/>
        </w:rPr>
        <w:t xml:space="preserve">Alternative models:</w:t>
      </w:r>
      <w:r>
        <w:t xml:space="preserve"> compare the linear baseline with regularized regression (Ridge and Lasso), which handles correlated predictors such as </w:t>
      </w:r>
      <w:r>
        <w:rPr>
          <w:rFonts w:ascii="Consolas" w:cs="Consolas" w:eastAsia="Consolas" w:hAnsi="Consolas"/>
          <w:sz w:val="22"/>
          <w:szCs w:val="22"/>
        </w:rPr>
        <w:t xml:space="preserve">rooms</w:t>
      </w:r>
      <w:r>
        <w:t xml:space="preserve"> and </w:t>
      </w:r>
      <w:r>
        <w:rPr>
          <w:rFonts w:ascii="Consolas" w:cs="Consolas" w:eastAsia="Consolas" w:hAnsi="Consolas"/>
          <w:sz w:val="22"/>
          <w:szCs w:val="22"/>
        </w:rPr>
        <w:t xml:space="preserve">size</w:t>
      </w:r>
      <w:r>
        <w:t xml:space="preserve">, and with tree-based ensembles (Random Forest, LightGBM, XGBoost), which can capture non-linear interactions between latitude, longitude, and building height.</w:t>
      </w:r>
    </w:p>
    <w:p>
      <w:pPr>
        <w:pStyle w:val="ListParagraph"/>
        <w:numPr>
          <w:ilvl w:val="0"/>
          <w:numId w:val="4"/>
        </w:numPr>
        <w:spacing w:after="80" w:line="300"/>
        <w:jc w:val="both"/>
      </w:pPr>
      <w:r>
        <w:rPr>
          <w:b/>
          <w:bCs/>
        </w:rPr>
        <w:t xml:space="preserve">Log transformation of the target:</w:t>
      </w:r>
      <w:r>
        <w:t xml:space="preserve"> modeling ln(price) could stabilize residual variance (heteroscedasticity) across higher-priced listings.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3"/>
      </w:pBdr>
      <w:spacing w:after="16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Price Prediction and Market Analysis in Tashkent</dc:title>
  <dc:creator>TEAM (Group E40B)</dc:creator>
  <cp:lastModifiedBy>Un-named</cp:lastModifiedBy>
  <cp:revision>1</cp:revision>
  <dcterms:created xsi:type="dcterms:W3CDTF">2026-10-20T21:34:23.396Z</dcterms:created>
  <dcterms:modified xsi:type="dcterms:W3CDTF">2026-10-20T21:34:23.396Z</dcterms:modified>
</cp:coreProperties>
</file>

<file path=docProps/custom.xml><?xml version="1.0" encoding="utf-8"?>
<Properties xmlns="http://schemas.openxmlformats.org/officeDocument/2006/custom-properties" xmlns:vt="http://schemas.openxmlformats.org/officeDocument/2006/docPropsVTypes"/>
</file>