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36"/>
        </w:rPr>
        <w:t>Практическое занятие №5: Контейнеры системы RevGlamp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Тема: Диаграмма контейнеров C4 (C4 Container Diagram)</w:t>
        <w:br/>
        <w:t>Раздел: Архитектурное проектирование программного продукта</w:t>
      </w:r>
    </w:p>
    <w:p>
      <w:pPr>
        <w:spacing w:before="0" w:after="20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Дисциплина: Проектная деятельность   |   Группа: ЭФБО-17-25   |   Команда: RevGlamp   |   Дата: 17.10.2026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1. Цель работы и архитектурный контекст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Цель практической работы — декомпозировать программную систему динамического ценообразования «RevGlamp» на логические контейнеры времени выполнения (приложения и хранилища данных), зафиксировать границы ответственности каждого контейнера, определить протоколы межпроцессного взаимодействия и доказать реализуемость ключевых Use Case и нефункциональных требований (SLI/SLO).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Исходными данными являются контекстная диаграмма C4 (ПЗ №4), перечень прецедентов использования UC1–UC6 (ПЗ №3) и программный прототип MVP RevGlamp.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2. Границы системы и декомпозиция на контейнеры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В соответствии со стандартом C4 контейнером является любое приложение или хранилище данных, которое должно функционировать для обеспечения сквозной работоспособности продукта. В системе RevGlamp выделено 3 ключевых контейнера: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216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Контейнер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Тип и технология</w:t>
            </w:r>
          </w:p>
        </w:tc>
        <w:tc>
          <w:tcPr>
            <w:tcW w:type="dxa" w:w="475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Назначение и роль в архитектуре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Веб-календарь тарифов</w:t>
            </w:r>
          </w:p>
        </w:tc>
        <w:tc>
          <w:tcPr>
            <w:tcW w:type="dxa" w:w="302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Клиентское веб-приложение (SPA)</w:t>
              <w:br/>
              <w:t>[React 18, Vite, Tailwind CSS, предварительно]</w:t>
            </w:r>
          </w:p>
        </w:tc>
        <w:tc>
          <w:tcPr>
            <w:tcW w:type="dxa" w:w="47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Выполняется в веб-браузере управляющего и собственника. Обеспечивает интерактивную визуализацию 60-дневной сетки цен, тепловой карты спроса, карточки факторов ценообразования и формы ввода порогов Floor Price.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302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 (Backend API)</w:t>
              <w:br/>
              <w:t>[Python 3.11+, FastAPI, предварительно]</w:t>
            </w:r>
          </w:p>
        </w:tc>
        <w:tc>
          <w:tcPr>
            <w:tcW w:type="dxa" w:w="47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Выполняется как серверный сервис. Обрабатывает запросы веб-календаря, реализует алгоритм динамического расчета цен с поправками на сезон, спрос и погоду, гарантирует инвариант себестоимости и отдает экспортные потоки.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База данных тарифов</w:t>
            </w:r>
          </w:p>
        </w:tc>
        <w:tc>
          <w:tcPr>
            <w:tcW w:type="dxa" w:w="302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Реляционная база данных (SQL Database)</w:t>
              <w:br/>
              <w:t>[SQLite 3 / PostgreSQL, предварительно]</w:t>
            </w:r>
          </w:p>
        </w:tc>
        <w:tc>
          <w:tcPr>
            <w:tcW w:type="dxa" w:w="47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Обеспечивает постоянное хранение сущностей системы: настроек объектов, номерного фонда, базовых цен, несгораемых лимитов Floor Price, истории бронирований и утвержденных тарифов.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3. Диаграмма контейнеров C4 (Графическая модель)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На рисунке 1 представлена диаграмма контейнеров C4 системы RevGlamp, отражающая границу программного продукта, внутренние контейнеры, внешнее окружение и протоколы обмена данными.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642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i/>
          <w:color w:val="000000"/>
          <w:sz w:val="19"/>
        </w:rPr>
        <w:t>Рисунок 1 — Диаграмма контейнеров C4 системы RevGlamp (уровень 2)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4. Протоколы и спецификация межпроцессного взаимодействия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Все взаимодействия между программными элементами строго типизированы и изолированы: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Веб-календарь → Серверное приложение: протокол JSON over HTTPS (REST API). Клиент отправляет асинхронные запросы на расчет тарифов (/api/pricing/calculate) и сохранение утвержденного прайс-листа (/api/pricing/approve).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Серверное приложение → База данных: протокол SQL over TCP / IPC. Прямой доступ клиентов к БД запрещен архитектурным правилом курса; все операции экранированы ORM/SQLAlchemy с защитой от SQL-инъекций.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Серверное приложение → Погодный сервис Open-Meteo: протокол REST JSON over HTTPS. Запрос выполняется с жестким таймаутом 2.0 секунды; при отсутствии ответа ядро откатывается на нейтральный погодный коэффициент 1.0.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Серверное приложение → Производственный календарь РФ: протокол JSON over HTTPS. Запрашиваются даты государственных праздников и переносов для расчета сезонного коэффициента.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Система отеля (PMS) → Серверное приложение: протокол RFC 5545 iCal / HTTP GET. Внешняя шахматка периодически забирает утвержденную сетку цен по персональному URL-адресу.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5. Трассировка требований к качеству (NFR) по контейнерам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16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Атрибут качества</w:t>
            </w:r>
          </w:p>
        </w:tc>
        <w:tc>
          <w:tcPr>
            <w:tcW w:type="dxa" w:w="273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Требование (SLI / SLO)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Затронутый контейнер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Архитектурное решение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Производительность (Latency)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Расчет тарифов на 60 дней за p95 &lt;= 1.0 с при 50 одновременных пользователях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302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Синхронный расчет в оперативной памяти Python без блокирующих внешних очередей. Фактическое время по бенчмаркам MVP — 25–40 мс.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Надежность (Safety Invariant)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100% утвержденных тарифов удовлетворяют условию Price &gt;= Floor_Price (0 демпинга)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приложение, База данных</w:t>
            </w:r>
          </w:p>
        </w:tc>
        <w:tc>
          <w:tcPr>
            <w:tcW w:type="dxa" w:w="302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Двухуровневая валидация: в ядре алгоритма и через ограничение CHECK(price &gt;= floor_price) в СУБД.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Доступность (Availability)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Доступность эндпоинта iCal не менее 99.5% времени в течение месяца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302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Кэширование сформированного iCal-файла в памяти/файловой системе, мгновенная отдача со статусом HTTP 200 OK.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Сопровождаемость (Maintainability)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Чистая изоляция клиентского кода от схемы базы данных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Веб-календарь, Серверное приложение</w:t>
            </w:r>
          </w:p>
        </w:tc>
        <w:tc>
          <w:tcPr>
            <w:tcW w:type="dxa" w:w="302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Строгое разделение ответственности: клиент не знает структуру БД и оперирует DTO-моделями Pydantic.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6. Выводы и готовность к детализации на уровне компонентов (ПЗ №6)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Диаграмма контейнеров C4 успешно прошла проверку сквозным прохождением Use Case и сверку с моделью C4 1-го уровня (ПЗ №4). В системе отсутствуют лишние инфраструктурные абстракции (YAGNI), соблюден баланс производительности и простоты поддержки.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Ключевой контейнер «Серверное приложение (Backend API)», концентрирующий вычислительную логику динамического ценообразования и интеграции, выбран для дальнейшей детализации на диаграмме компонентов в рамках Практического занятия №6.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Белишко Кирилл Андреевич</dc:creator>
  <cp:keywords/>
  <dc:description/>
  <cp:lastModifiedBy>Белишко Кирилл Андреевич</cp:lastModifiedBy>
  <cp:revision>1</cp:revision>
  <dcterms:created xsi:type="dcterms:W3CDTF">2013-12-23T23:15:00Z</dcterms:created>
  <dcterms:modified xsi:type="dcterms:W3CDTF">2013-12-23T23:15:00Z</dcterms:modified>
  <cp:category>Учебная документация</cp:category>
</cp:coreProperties>
</file>