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Практическое занятие №5. Раздаточные материалы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Тема: Диаграмма контейнеров C4 (C4 Container Diagram)</w:t>
        <w:br/>
        <w:t>Проект: Сервис динамического ценообразования для малых средств размещения (RevGlamp)</w:t>
      </w:r>
    </w:p>
    <w:p>
      <w:pPr>
        <w:spacing w:before="0" w:after="16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Группа: ЭФБО-17-25   |   Команда: RevGlamp   |   Дата: 17.10.2026   |   Руководитель: Белишко Кирилл Андреевич</w:t>
      </w: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Памятка: правила составления диаграммы контейнеров C4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60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Правило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Контейнер — приложение или хранилище данных, необходимое для работы системы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 нарисованы устройства, серверы, модули внутри приложений, таблицы?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Все контейнеры — внутри границы системы; люди и внешние системы — снаружи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Рамка подписана: RevGlamp [Программная система]?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 каждом контейнере три строки: название, тип с технологией, описание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 названию понятно, чей это интерфейс или что лежит в хранилище?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Приложение рисуется один раз, сколько бы его экземпляров ни работало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Балансировщики нагрузки и реплики исключены из контейнеров?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Приложения пользователей работают с данными только через серверное приложение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Прямые стрелки от SPA к базе данных отсутствуют? Да, исключены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Связь — стрелка в одну сторону от инициатора; подпись — действие источника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Отсутствуют абстрактные подписи «использует», «данные»?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У связей между программными элементами указана технология с пометкой «предварительно»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Указаны протоколы [JSON/HTTPS], [SQL], [RFC 5545 iCal]?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Каждый Use Case проходится по стрелкам через цепочку контейнеров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Можно провести сквозной путь от пользователя до базы данных?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У диаграммы есть официальное название и подробная легенда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Соблюдены стандарты графической нотации Simon Brown C4? Да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1. Окружение с контекстной диаграммы (ПЗ №4)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/>
          <w:color w:val="000000"/>
          <w:sz w:val="19"/>
        </w:rPr>
        <w:t>Перенесены люди, внешние системы и описания строго из контекстной диаграммы ПЗ №4.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Элемент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Тип: человек / внешняя система</w:t>
            </w:r>
          </w:p>
        </w:tc>
        <w:tc>
          <w:tcPr>
            <w:tcW w:type="dxa" w:w="504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Описание (как на контекстной диаграмме)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Управляющий объектом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Человек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Операционный менеджер глэмпинга (10–35 номеров). За 15 минут в неделю проверяет загрузку, настраивает параметры домиков и утверждает оптимальные тарифы.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Собственник базы отдыха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Человек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Владелец бизнеса / инвестор. Контролирует соблюдение минимального порога рентабельности и защитного тарифа себестоимости уборки и обслуживания (Floor Price).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Погодный сервис (Open-Meteo)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Внешняя программная система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Бесплатный погодный API без ключей авторизации. Предоставляет посуточный прогноз температуры и осадков на горизонте 14 дней.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Производственный календарь РФ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Внешняя программная система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Официальный календарь рабочих, выходных, праздничных и перенесенных нерабочих дней РФ для оценки сезонных всплесков спроса.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Система отеля (PMS / Шахматка)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Внешняя программная система</w:t>
            </w:r>
          </w:p>
        </w:tc>
        <w:tc>
          <w:tcPr>
            <w:tcW w:type="dxa" w:w="50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Внешняя система управления номерным фондом (Bnovo / TravelLine / RealtyCalendar). Считывает утвержденные тарифы по постоянной ссылке iCal URL.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2. Контейнеры системы RevGlamp</w:t>
      </w: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Ответы на вопросы поиска контейнеров: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36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Вопрос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 проектной команды RevGlamp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1. Через что работает с системой каждый человек?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Управляющий и собственник работают через легковесный интерактивный веб-интерфейс в браузере (клиентское веб-приложение SPA на React 18 / Vite).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2. Что принимает запросы, проверяет права и выполняет правила продукта?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 (Backend API) на Python 3.11 / FastAPI. Оно выполняет эвристический расчет цен по формуле спроса и гарантирует инвариант Price &gt;= Floor Price.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3. Где хранятся данные, которые должны сохраниться после закрытия приложения?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 реляционной базе данных (SQLite 3 для локального MVP / PostgreSQL для развертывания). Хранятся категории, базовые ставки, история броней и утвержденные тарифы.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4. Есть ли работа, которую система делает без действия человека? Кто её выполняет?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 по входящему HTTP GET запросу от внешней PMS отеля на лету генерирует актуальный поток iCal (RFC 5545) с утвержденными тарифами.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Спецификация контейнеров RevGlamp: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58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Контейнер (название)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Вид контейнера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Технология, предварительно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Описание: что делает или что хранит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Кто обращается</w:t>
            </w:r>
          </w:p>
        </w:tc>
        <w:tc>
          <w:tcPr>
            <w:tcW w:type="dxa" w:w="12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Откуда взялся (связь, UC, НФТ)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Клиентское веб-приложение (SPA)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React 18, Vite, Tailwind CSS, предварительно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Работает в браузере. Отображает сетку тарифов на 60 дней, цветовую карту спроса, модальную карточку обоснования цены и форму порогов Floor Price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Управляющий объектом, Собственник базы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Связи 1, 2 C4; UC2, UC5; НФТ4 (3 клика)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веб-приложение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3.11+, FastAPI, предварительно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Предоставляет REST API, рассчитывает тарифы по эвристической модели, валидирует ограничение себестоимости, парсит брони и генерирует экспортный iCal-поток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тарифов, Шахматка PMS отеля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Связи 1–5 C4; UC1, UC3, UC4, UC6; НФТ1, НФТ2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База данных тарифов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База данных (хранилище)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SQLite 3 / PostgreSQL, предварительно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Реляционная СУБД. Хранит параметры объектов, категории жилья, базовые ставки, несгораемый Floor Price, историю броней и утвержденные тарифы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 (только бэкенд)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Связи 1, 2, 5 C4; UC1, UC2, UC5, UC6; НФТ2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3. Реестр связей контейнеров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50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№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</w:t>
            </w:r>
          </w:p>
        </w:tc>
        <w:tc>
          <w:tcPr>
            <w:tcW w:type="dxa" w:w="27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Подпись: что делает источник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Технология, предварительно</w:t>
            </w:r>
          </w:p>
        </w:tc>
        <w:tc>
          <w:tcPr>
            <w:tcW w:type="dxa" w:w="108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Use Case</w:t>
            </w:r>
          </w:p>
        </w:tc>
        <w:tc>
          <w:tcPr>
            <w:tcW w:type="dxa" w:w="100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Из связи C4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Управляющий объектом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Настраивает параметры объекта, просматривает рекомендации и утверждает тарифы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 (Браузер / Web UI)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UC5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Связь №1 C4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Собственник базы отдыха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Контролирует порог рентабельности и задает несгораемый лимит Floor Price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 (Браузер / Web UI)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UC2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Связь №2 C4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расчет рекомендаций на 60 дней, передает утвержденные тарифы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предварительно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UC4, UC5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 (внутрисистемная)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База данных тарифов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Читает параметры категорий и историю броней, сохраняет утвержденные цены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SQL, предварительно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UC4, UC5, UC6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 (внутрисистемная)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Погодный сервис (Open-Meteo)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посуточный прогноз осадков и максимальной температуры на 14 дней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 REST, предварительно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Связь №3 C4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Производственный календарь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статус праздничных, предпраздничных и нерабочих дней на текущий год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предварительно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Связь №4 C4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7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Система отеля (PMS)</w:t>
            </w:r>
          </w:p>
        </w:tc>
        <w:tc>
          <w:tcPr>
            <w:tcW w:type="dxa" w:w="16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Периодически считывает утвержденную сетку тарифов по ссылке iCal URL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RFC 5545 iCal / HTTP GET, предварительно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UC6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Связь №5 C4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4. Требования к качеству (НФТ) и контейнеры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Требование (ПЗ №3)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Какие контейнеры затрагивает</w:t>
            </w:r>
          </w:p>
        </w:tc>
        <w:tc>
          <w:tcPr>
            <w:tcW w:type="dxa" w:w="27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Меняет ли диаграмму контейнеров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относится к развёртыванию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НФТ1. При 50 пользователях расчет сетки на 60 дней выполняется за p95 &lt;= 1.0 с, доля ошибок &lt;= 0.1%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приложение, База данных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Расчет выполняется в памяти бэкенда за 25–40 мс без тяжелых очередей (YAGNI)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Размещение на VPS с 2 vCPU, 4 GB RAM, пул соединений SQLite/PostgreSQL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НФТ2. 100% утвержденных тарифов удовлетворяют условию Price &gt;= Floor_Price (0 инцидентов демпинга)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приложение, База данных, Веб-календарь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Проверка выполняется двойным контуром: на клиенте (UI) и на сервере перед записью в БД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Транзакционная изоляция SQLite/PostgreSQL, ограничение CHECK(price &gt;= floor_price)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НФТ3. Доступность эндпоинта iCal-экспорта не менее 99.5% времени в течение месяца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Серверное приложение отдает iCal как статический/кэшированный поток без сложных вычислений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Uptime-мониторинг, перезапуск через systemd / Docker healthcheck, таймаут 2 с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НФТ4. Цикл еженедельной проверки и утверждения тарифов на месяц занимает &lt;= 3 мин и &lt;= 3 кликов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Решается UX/UI интерфейса (кнопки «Утвердить на 60 дней», цветовая карта загрузки)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Сборка SPA через Vite, сжатие статических ассетов Gzip/Brotli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5. Диаграмма контейнеров C4 (Уровень 2)</w:t>
      </w:r>
    </w:p>
    <w:p>
      <w:pPr>
        <w:spacing w:before="0" w:after="6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Название диаграммы: RevGlamp — Диаграмма контейнеров системы (C4 Container Diagram)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42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i/>
          <w:color w:val="000000"/>
          <w:sz w:val="19"/>
        </w:rPr>
        <w:t>Рисунок 1 — Диаграмма контейнеров C4 сервиса динамического ценообразования RevGlamp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5 (продолжение). Что не показано на диаграмме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388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не показано</w:t>
            </w:r>
          </w:p>
        </w:tc>
        <w:tc>
          <w:tcPr>
            <w:tcW w:type="dxa" w:w="604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Почему не показано на диаграмме контейнеров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Физические серверы, хостинг и виртуальные машины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Узлы развертывания — вопрос физической инфраструктуры, отображаются на диаграмме развертывания.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Балансировщики нагрузки (Nginx/Traefik) и число копий API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Решения масштабирования: приложение на C4 рисуется один раз независимо от числа реплик.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Внутренние модули и классы (importers, pricing_engine, weather)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Компоненты внутренней структуры бэкенда — детализируются на 3-м уровне C4 (ПЗ №6).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Таблицы базы данных и внешние ключи (properties, unit_types, bookings)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Структура хранения данных — отображается на логической модели данных (ПЗ №7).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Очереди сообщений (Celery, RabbitMQ, Kafka)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Осознанно исключены по принципу YAGNI: для 10–35 домиков все расчеты выполняются синхронно за &lt; 50 мс.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6. Сверка диаграммы контейнеров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36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Проверка</w:t>
            </w:r>
          </w:p>
        </w:tc>
        <w:tc>
          <w:tcPr>
            <w:tcW w:type="dxa" w:w="12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До проверки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исправлено</w:t>
            </w:r>
          </w:p>
        </w:tc>
        <w:tc>
          <w:tcPr>
            <w:tcW w:type="dxa" w:w="115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1. Люди и внешние системы совпадают с контекстной диаграммой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Все 2 роли и 3 внешние системы перенесены без искажений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2. Каждая связь контекстной диаграммы отражена хотя бы одной связью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Связи 1–5 контекста декомпозированы на связи контейнеров 1–7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3. Каждый Use Case проходится по стрелкам от человека через контейнеры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UC5, UC6 имеют непрерывные цепочки взаимодействия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4. У каждого контейнера есть связь; SPA не обращается к БД напрямую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работает строго через REST API бэкенда, прямой SQL исключен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5. Нет устройств, серверов, экземпляров; контейнеры внутри границы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Все 3 контейнера внутри рамки RevGlamp, внешние сущности снаружи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6. У контейнеров — тип с технологией «предварительно» и описание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Указаны React 18, FastAPI, SQLite 3 с пометкой «предварительно»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7. У диаграммы — название, граница с подписью, официальная легенда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Присутствует рамка границы, заголовок и стандартизированная легенда C4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7. Проверка прохождением ключевых Use Case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Use Case (вписывают авторы)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 читателей (по диаграмме)</w:t>
            </w:r>
          </w:p>
        </w:tc>
        <w:tc>
          <w:tcPr>
            <w:tcW w:type="dxa" w:w="100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Совпадает?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авторы исправили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UC5: Утвердить тарифную сетку в веб-календаре</w:t>
            </w:r>
          </w:p>
        </w:tc>
        <w:tc>
          <w:tcPr>
            <w:tcW w:type="dxa" w:w="48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Управляющий открывает Веб-календарь (связь 1), календарь запрашивает бэкенд (связь 3), бэкенд читает БД (связь 4), опрашивает Open-Meteo (связь 5) и календарь РФ (связь 6), валидирует Floor Price и отдает сетку цен. Управляющий жмет «Утвердить», бэкенд сохраняет тарифы в БД со статусом «Утверждено» (связь 4).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Сценарий полностью подтвержден. Разрывов в цепочке вызовов не выявлено.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UC6: Экспорт тарифов по ссылке iCal / CSV</w:t>
            </w:r>
          </w:p>
        </w:tc>
        <w:tc>
          <w:tcPr>
            <w:tcW w:type="dxa" w:w="48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Внешняя PMS отеля обращается по настроенной ссылке iCal URL (связь 7) к Серверному приложению. Серверное приложение считывает утвержденные тарифы из БД (связь 4) и возвращает поток RFC 5545 с HTTP 200 OK. Прямого доступа PMS к базе данных нет.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Замечаний нет. Автономность экспортного эндпоинта подтверждена.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Белишко Кирилл Андреевич</dc:creator>
  <cp:keywords/>
  <dc:description/>
  <cp:lastModifiedBy>Белишко Кирилл Андреевич</cp:lastModifiedBy>
  <cp:revision>1</cp:revision>
  <dcterms:created xsi:type="dcterms:W3CDTF">2013-12-23T23:15:00Z</dcterms:created>
  <dcterms:modified xsi:type="dcterms:W3CDTF">2013-12-23T23:15:00Z</dcterms:modified>
  <cp:category>Учебная документация</cp:category>
</cp:coreProperties>
</file>