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 w:line="276" w:lineRule="auto"/>
        <w:jc w:val="left"/>
      </w:pPr>
      <w:r>
        <w:rPr>
          <w:rFonts w:ascii="Calibri" w:hAnsi="Calibri"/>
          <w:b/>
          <w:i w:val="0"/>
          <w:color w:val="000000"/>
          <w:sz w:val="36"/>
        </w:rPr>
        <w:t>Практическое занятие №6: Пояснительная записка</w:t>
      </w:r>
    </w:p>
    <w:p>
      <w:pPr>
        <w:spacing w:before="0" w:after="60" w:line="276" w:lineRule="auto"/>
        <w:jc w:val="left"/>
      </w:pPr>
      <w:r>
        <w:rPr>
          <w:rFonts w:ascii="Calibri" w:hAnsi="Calibri"/>
          <w:b w:val="0"/>
          <w:i w:val="0"/>
          <w:color w:val="000000"/>
          <w:sz w:val="22"/>
        </w:rPr>
        <w:t>Тема: Диаграмма компонентов C4 (C4 Component Diagram)</w:t>
        <w:br/>
        <w:t>Раздел: Архитектурное проектирование программного продукта</w:t>
      </w:r>
    </w:p>
    <w:p>
      <w:pPr>
        <w:spacing w:before="0" w:after="200" w:line="276" w:lineRule="auto"/>
        <w:jc w:val="left"/>
      </w:pPr>
      <w:r>
        <w:rPr>
          <w:rFonts w:ascii="Calibri" w:hAnsi="Calibri"/>
          <w:b/>
          <w:i w:val="0"/>
          <w:color w:val="000000"/>
          <w:sz w:val="21"/>
        </w:rPr>
        <w:t>Дисциплина: Проектная деятельность   |   Группа: ЭФБО-17-25   |   Команда: RevGlamp   |   Дата: 24.10.2026</w:t>
      </w:r>
    </w:p>
    <w:p>
      <w:pPr>
        <w:keepNext/>
        <w:spacing w:before="260" w:after="60"/>
      </w:pPr>
      <w:r>
        <w:rPr>
          <w:rFonts w:ascii="Calibri" w:hAnsi="Calibri"/>
          <w:b/>
          <w:color w:val="000000"/>
          <w:sz w:val="27"/>
        </w:rPr>
        <w:t>1. Цель работы и исходные данные</w:t>
      </w:r>
    </w:p>
    <w:p>
      <w:pPr>
        <w:spacing w:before="0" w:after="60" w:line="276" w:lineRule="auto"/>
        <w:jc w:val="left"/>
      </w:pPr>
      <w:r>
        <w:rPr>
          <w:rFonts w:ascii="Calibri" w:hAnsi="Calibri"/>
          <w:b w:val="0"/>
          <w:i w:val="0"/>
          <w:color w:val="000000"/>
          <w:sz w:val="22"/>
        </w:rPr>
        <w:t>Цель работы: декомпозировать серверное приложение сервиса динамического ценообразования «RevGlamp» на функциональные компоненты, специфицировать зоны ответственности и интерфейсы компонентов, построить диаграмму компонентов модели C4 (3-й уровень) и доказать устойчивость архитектуры к типовым изменениям.</w:t>
      </w:r>
    </w:p>
    <w:p>
      <w:pPr>
        <w:spacing w:before="0" w:after="60" w:line="276" w:lineRule="auto"/>
        <w:jc w:val="left"/>
      </w:pPr>
      <w:r>
        <w:rPr>
          <w:rFonts w:ascii="Calibri" w:hAnsi="Calibri"/>
          <w:b w:val="0"/>
          <w:i w:val="0"/>
          <w:color w:val="000000"/>
          <w:sz w:val="22"/>
        </w:rPr>
        <w:t>Исходные данные взяты из результатов ПЗ №3 (прецеденты UC1–UC6, NFR) и ПЗ №5 (диаграмма контейнеров, связи С1–С5).</w:t>
      </w:r>
    </w:p>
    <w:p>
      <w:pPr>
        <w:keepNext/>
        <w:spacing w:before="260" w:after="60"/>
      </w:pPr>
      <w:r>
        <w:rPr>
          <w:rFonts w:ascii="Calibri" w:hAnsi="Calibri"/>
          <w:b/>
          <w:color w:val="000000"/>
          <w:sz w:val="27"/>
        </w:rPr>
        <w:t>2. Выбор контейнера для детализации и его обоснование</w:t>
      </w:r>
    </w:p>
    <w:p>
      <w:pPr>
        <w:spacing w:before="0" w:after="60" w:line="276" w:lineRule="auto"/>
        <w:jc w:val="left"/>
      </w:pPr>
      <w:r>
        <w:rPr>
          <w:rFonts w:ascii="Calibri" w:hAnsi="Calibri"/>
          <w:b w:val="0"/>
          <w:i w:val="0"/>
          <w:color w:val="000000"/>
          <w:sz w:val="22"/>
        </w:rPr>
        <w:t>Для детальной архитектурной проработки выбран контейнер «Серверное приложение (Backend API &amp; Pricing Core)» [Python 3.11+, FastAPI].</w:t>
      </w:r>
    </w:p>
    <w:p>
      <w:pPr>
        <w:spacing w:before="0" w:after="60" w:line="276" w:lineRule="auto"/>
        <w:jc w:val="left"/>
      </w:pPr>
      <w:r>
        <w:rPr>
          <w:rFonts w:ascii="Calibri" w:hAnsi="Calibri"/>
          <w:b w:val="0"/>
          <w:i w:val="0"/>
          <w:color w:val="000000"/>
          <w:sz w:val="22"/>
        </w:rPr>
        <w:t>Обоснование выбора:</w:t>
      </w:r>
    </w:p>
    <w:p>
      <w:pPr>
        <w:spacing w:before="0" w:after="60" w:line="276" w:lineRule="auto"/>
        <w:jc w:val="left"/>
      </w:pPr>
      <w:r>
        <w:rPr>
          <w:rFonts w:ascii="Calibri" w:hAnsi="Calibri"/>
          <w:b w:val="0"/>
          <w:i w:val="0"/>
          <w:color w:val="000000"/>
          <w:sz w:val="22"/>
        </w:rPr>
        <w:t>1. Концентрация бизнес-правил: именно здесь реализуется эвристическая математическая модель спроса и строгая финансовая защита Floor Price.</w:t>
      </w:r>
    </w:p>
    <w:p>
      <w:pPr>
        <w:spacing w:before="0" w:after="60" w:line="276" w:lineRule="auto"/>
        <w:jc w:val="left"/>
      </w:pPr>
      <w:r>
        <w:rPr>
          <w:rFonts w:ascii="Calibri" w:hAnsi="Calibri"/>
          <w:b w:val="0"/>
          <w:i w:val="0"/>
          <w:color w:val="000000"/>
          <w:sz w:val="22"/>
        </w:rPr>
        <w:t>2. Центр интеграций: контейнер объединяет входящие запросы клиентского SPA, вызовы внешней шахматки PMS и обращение к двум внешним поставщикам данных (Open-Meteo и Производственный календарь РФ).</w:t>
      </w:r>
    </w:p>
    <w:p>
      <w:pPr>
        <w:spacing w:before="0" w:after="60" w:line="276" w:lineRule="auto"/>
        <w:jc w:val="left"/>
      </w:pPr>
      <w:r>
        <w:rPr>
          <w:rFonts w:ascii="Calibri" w:hAnsi="Calibri"/>
          <w:b w:val="0"/>
          <w:i w:val="0"/>
          <w:color w:val="000000"/>
          <w:sz w:val="22"/>
        </w:rPr>
        <w:t>3. Точка наивысшей частоты изменений: при развитии продукта (подключение алгоритмов машинного обучения, новых факторов спроса) доработкам подвергается именно бэкенд.</w:t>
      </w:r>
    </w:p>
    <w:p>
      <w:pPr>
        <w:keepNext/>
        <w:spacing w:before="260" w:after="60"/>
      </w:pPr>
      <w:r>
        <w:rPr>
          <w:rFonts w:ascii="Calibri" w:hAnsi="Calibri"/>
          <w:b/>
          <w:color w:val="000000"/>
          <w:sz w:val="27"/>
        </w:rPr>
        <w:t>3. Перечень и спецификация компонентов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3D3D3"/>
          <w:bottom w:val="single" w:sz="6" w:space="0" w:color="A6A6A6"/>
          <w:insideH w:val="single" w:sz="4" w:space="0" w:color="E0E0E0"/>
          <w:insideV w:val="none"/>
          <w:left w:val="none"/>
          <w:right w:val="none"/>
        </w:tblBorders>
      </w:tblPr>
      <w:tblGrid>
        <w:gridCol w:w="2484"/>
        <w:gridCol w:w="2484"/>
        <w:gridCol w:w="2484"/>
        <w:gridCol w:w="2484"/>
      </w:tblGrid>
      <w:tr>
        <w:trPr>
          <w:tblHeader/>
          <w:cantSplit/>
        </w:trPr>
        <w:tc>
          <w:tcPr>
            <w:tcW w:type="dxa" w:w="2016"/>
            <w:tcMar>
              <w:top w:w="65" w:type="dxa"/>
              <w:bottom w:w="65" w:type="dxa"/>
              <w:left w:w="85" w:type="dxa"/>
              <w:right w:w="85" w:type="dxa"/>
            </w:tcMar>
            <w:shd w:val="clear" w:color="auto" w:fill="F2F2F2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color w:val="000000"/>
                <w:sz w:val="19"/>
              </w:rPr>
              <w:t>Компонент</w:t>
            </w:r>
          </w:p>
        </w:tc>
        <w:tc>
          <w:tcPr>
            <w:tcW w:type="dxa" w:w="1728"/>
            <w:tcMar>
              <w:top w:w="65" w:type="dxa"/>
              <w:bottom w:w="65" w:type="dxa"/>
              <w:left w:w="85" w:type="dxa"/>
              <w:right w:w="85" w:type="dxa"/>
            </w:tcMar>
            <w:shd w:val="clear" w:color="auto" w:fill="F2F2F2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color w:val="000000"/>
                <w:sz w:val="19"/>
              </w:rPr>
              <w:t>Технология (предв.)</w:t>
            </w:r>
          </w:p>
        </w:tc>
        <w:tc>
          <w:tcPr>
            <w:tcW w:type="dxa" w:w="3312"/>
            <w:tcMar>
              <w:top w:w="65" w:type="dxa"/>
              <w:bottom w:w="65" w:type="dxa"/>
              <w:left w:w="85" w:type="dxa"/>
              <w:right w:w="85" w:type="dxa"/>
            </w:tcMar>
            <w:shd w:val="clear" w:color="auto" w:fill="F2F2F2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color w:val="000000"/>
                <w:sz w:val="19"/>
              </w:rPr>
              <w:t>Ответственность</w:t>
            </w:r>
          </w:p>
        </w:tc>
        <w:tc>
          <w:tcPr>
            <w:tcW w:type="dxa" w:w="2880"/>
            <w:tcMar>
              <w:top w:w="65" w:type="dxa"/>
              <w:bottom w:w="65" w:type="dxa"/>
              <w:left w:w="85" w:type="dxa"/>
              <w:right w:w="85" w:type="dxa"/>
            </w:tcMar>
            <w:shd w:val="clear" w:color="auto" w:fill="F2F2F2"/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color w:val="000000"/>
                <w:sz w:val="19"/>
              </w:rPr>
              <w:t>Интерфейс вызова</w:t>
            </w:r>
          </w:p>
        </w:tc>
      </w:tr>
      <w:tr>
        <w:trPr>
          <w:cantSplit/>
        </w:trPr>
        <w:tc>
          <w:tcPr>
            <w:tcW w:type="dxa" w:w="2016"/>
            <w:tcMar>
              <w:top w:w="45" w:type="dxa"/>
              <w:bottom w:w="45" w:type="dxa"/>
              <w:left w:w="85" w:type="dxa"/>
              <w:right w:w="85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color w:val="000000"/>
                <w:sz w:val="19"/>
              </w:rPr>
              <w:t>Pricing API Controller</w:t>
            </w:r>
          </w:p>
        </w:tc>
        <w:tc>
          <w:tcPr>
            <w:tcW w:type="dxa" w:w="1728"/>
            <w:tcMar>
              <w:top w:w="45" w:type="dxa"/>
              <w:bottom w:w="45" w:type="dxa"/>
              <w:left w:w="85" w:type="dxa"/>
              <w:right w:w="85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color w:val="000000"/>
                <w:sz w:val="19"/>
              </w:rPr>
              <w:t>FastAPI Router, Pydantic</w:t>
            </w:r>
          </w:p>
        </w:tc>
        <w:tc>
          <w:tcPr>
            <w:tcW w:type="dxa" w:w="3312"/>
            <w:tcMar>
              <w:top w:w="45" w:type="dxa"/>
              <w:bottom w:w="45" w:type="dxa"/>
              <w:left w:w="85" w:type="dxa"/>
              <w:right w:w="85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color w:val="000000"/>
                <w:sz w:val="19"/>
              </w:rPr>
              <w:t>Прием внешних HTTP-запросов, валидация DTO-схем, маршрутизация</w:t>
            </w:r>
          </w:p>
        </w:tc>
        <w:tc>
          <w:tcPr>
            <w:tcW w:type="dxa" w:w="2880"/>
            <w:tcMar>
              <w:top w:w="45" w:type="dxa"/>
              <w:bottom w:w="45" w:type="dxa"/>
              <w:left w:w="85" w:type="dxa"/>
              <w:right w:w="85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color w:val="000000"/>
                <w:sz w:val="19"/>
              </w:rPr>
              <w:t>POST /api/pricing/calculate, POST /api/pricing/approve</w:t>
            </w:r>
          </w:p>
        </w:tc>
      </w:tr>
      <w:tr>
        <w:trPr>
          <w:cantSplit/>
        </w:trPr>
        <w:tc>
          <w:tcPr>
            <w:tcW w:type="dxa" w:w="2016"/>
            <w:tcMar>
              <w:top w:w="45" w:type="dxa"/>
              <w:bottom w:w="45" w:type="dxa"/>
              <w:left w:w="85" w:type="dxa"/>
              <w:right w:w="85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color w:val="000000"/>
                <w:sz w:val="19"/>
              </w:rPr>
              <w:t>Dynamic Pricing Engine</w:t>
            </w:r>
          </w:p>
        </w:tc>
        <w:tc>
          <w:tcPr>
            <w:tcW w:type="dxa" w:w="1728"/>
            <w:tcMar>
              <w:top w:w="45" w:type="dxa"/>
              <w:bottom w:w="45" w:type="dxa"/>
              <w:left w:w="85" w:type="dxa"/>
              <w:right w:w="85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color w:val="000000"/>
                <w:sz w:val="19"/>
              </w:rPr>
              <w:t>Python 3.11</w:t>
            </w:r>
          </w:p>
        </w:tc>
        <w:tc>
          <w:tcPr>
            <w:tcW w:type="dxa" w:w="3312"/>
            <w:tcMar>
              <w:top w:w="45" w:type="dxa"/>
              <w:bottom w:w="45" w:type="dxa"/>
              <w:left w:w="85" w:type="dxa"/>
              <w:right w:w="85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color w:val="000000"/>
                <w:sz w:val="19"/>
              </w:rPr>
              <w:t>Расчет цен P = Pbase * Kocc * Kweather * Kseason с гарантией Price &gt;= Floor Price</w:t>
            </w:r>
          </w:p>
        </w:tc>
        <w:tc>
          <w:tcPr>
            <w:tcW w:type="dxa" w:w="2880"/>
            <w:tcMar>
              <w:top w:w="45" w:type="dxa"/>
              <w:bottom w:w="45" w:type="dxa"/>
              <w:left w:w="85" w:type="dxa"/>
              <w:right w:w="85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color w:val="000000"/>
                <w:sz w:val="19"/>
              </w:rPr>
              <w:t>calculate_rates(property_id, horizon_days=60)</w:t>
            </w:r>
          </w:p>
        </w:tc>
      </w:tr>
      <w:tr>
        <w:trPr>
          <w:cantSplit/>
        </w:trPr>
        <w:tc>
          <w:tcPr>
            <w:tcW w:type="dxa" w:w="2016"/>
            <w:tcMar>
              <w:top w:w="45" w:type="dxa"/>
              <w:bottom w:w="45" w:type="dxa"/>
              <w:left w:w="85" w:type="dxa"/>
              <w:right w:w="85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color w:val="000000"/>
                <w:sz w:val="19"/>
              </w:rPr>
              <w:t>Booking &amp; Occupancy Manager</w:t>
            </w:r>
          </w:p>
        </w:tc>
        <w:tc>
          <w:tcPr>
            <w:tcW w:type="dxa" w:w="1728"/>
            <w:tcMar>
              <w:top w:w="45" w:type="dxa"/>
              <w:bottom w:w="45" w:type="dxa"/>
              <w:left w:w="85" w:type="dxa"/>
              <w:right w:w="85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color w:val="000000"/>
                <w:sz w:val="19"/>
              </w:rPr>
              <w:t>Python 3.11</w:t>
            </w:r>
          </w:p>
        </w:tc>
        <w:tc>
          <w:tcPr>
            <w:tcW w:type="dxa" w:w="3312"/>
            <w:tcMar>
              <w:top w:w="45" w:type="dxa"/>
              <w:bottom w:w="45" w:type="dxa"/>
              <w:left w:w="85" w:type="dxa"/>
              <w:right w:w="85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color w:val="000000"/>
                <w:sz w:val="19"/>
              </w:rPr>
              <w:t>Вычисление загрузки Occ(u,d), глубины бронирования и фактора спроса K_occ</w:t>
            </w:r>
          </w:p>
        </w:tc>
        <w:tc>
          <w:tcPr>
            <w:tcW w:type="dxa" w:w="2880"/>
            <w:tcMar>
              <w:top w:w="45" w:type="dxa"/>
              <w:bottom w:w="45" w:type="dxa"/>
              <w:left w:w="85" w:type="dxa"/>
              <w:right w:w="85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color w:val="000000"/>
                <w:sz w:val="19"/>
              </w:rPr>
              <w:t>get_occupancy_matrix(unit_type_id, start_date, end_date)</w:t>
            </w:r>
          </w:p>
        </w:tc>
      </w:tr>
      <w:tr>
        <w:trPr>
          <w:cantSplit/>
        </w:trPr>
        <w:tc>
          <w:tcPr>
            <w:tcW w:type="dxa" w:w="2016"/>
            <w:tcMar>
              <w:top w:w="45" w:type="dxa"/>
              <w:bottom w:w="45" w:type="dxa"/>
              <w:left w:w="85" w:type="dxa"/>
              <w:right w:w="85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color w:val="000000"/>
                <w:sz w:val="19"/>
              </w:rPr>
              <w:t>Weather Client &amp; Normalizer</w:t>
            </w:r>
          </w:p>
        </w:tc>
        <w:tc>
          <w:tcPr>
            <w:tcW w:type="dxa" w:w="1728"/>
            <w:tcMar>
              <w:top w:w="45" w:type="dxa"/>
              <w:bottom w:w="45" w:type="dxa"/>
              <w:left w:w="85" w:type="dxa"/>
              <w:right w:w="85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color w:val="000000"/>
                <w:sz w:val="19"/>
              </w:rPr>
              <w:t>Python httpx</w:t>
            </w:r>
          </w:p>
        </w:tc>
        <w:tc>
          <w:tcPr>
            <w:tcW w:type="dxa" w:w="3312"/>
            <w:tcMar>
              <w:top w:w="45" w:type="dxa"/>
              <w:bottom w:w="45" w:type="dxa"/>
              <w:left w:w="85" w:type="dxa"/>
              <w:right w:w="85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color w:val="000000"/>
                <w:sz w:val="19"/>
              </w:rPr>
              <w:t>Асинхронный опрос Open-Meteo (таймаут 2 с), расчет K_weather (0.88–1.12)</w:t>
            </w:r>
          </w:p>
        </w:tc>
        <w:tc>
          <w:tcPr>
            <w:tcW w:type="dxa" w:w="2880"/>
            <w:tcMar>
              <w:top w:w="45" w:type="dxa"/>
              <w:bottom w:w="45" w:type="dxa"/>
              <w:left w:w="85" w:type="dxa"/>
              <w:right w:w="85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color w:val="000000"/>
                <w:sz w:val="19"/>
              </w:rPr>
              <w:t>get_weather_factor(lat, lon, target_date)</w:t>
            </w:r>
          </w:p>
        </w:tc>
      </w:tr>
      <w:tr>
        <w:trPr>
          <w:cantSplit/>
        </w:trPr>
        <w:tc>
          <w:tcPr>
            <w:tcW w:type="dxa" w:w="2016"/>
            <w:tcMar>
              <w:top w:w="45" w:type="dxa"/>
              <w:bottom w:w="45" w:type="dxa"/>
              <w:left w:w="85" w:type="dxa"/>
              <w:right w:w="85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color w:val="000000"/>
                <w:sz w:val="19"/>
              </w:rPr>
              <w:t>Calendar &amp; Seasonality Service</w:t>
            </w:r>
          </w:p>
        </w:tc>
        <w:tc>
          <w:tcPr>
            <w:tcW w:type="dxa" w:w="1728"/>
            <w:tcMar>
              <w:top w:w="45" w:type="dxa"/>
              <w:bottom w:w="45" w:type="dxa"/>
              <w:left w:w="85" w:type="dxa"/>
              <w:right w:w="85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color w:val="000000"/>
                <w:sz w:val="19"/>
              </w:rPr>
              <w:t>Python 3.11</w:t>
            </w:r>
          </w:p>
        </w:tc>
        <w:tc>
          <w:tcPr>
            <w:tcW w:type="dxa" w:w="3312"/>
            <w:tcMar>
              <w:top w:w="45" w:type="dxa"/>
              <w:bottom w:w="45" w:type="dxa"/>
              <w:left w:w="85" w:type="dxa"/>
              <w:right w:w="85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color w:val="000000"/>
                <w:sz w:val="19"/>
              </w:rPr>
              <w:t>Классификация дней (выходные/праздники) и расчет сезонного фактора K_season</w:t>
            </w:r>
          </w:p>
        </w:tc>
        <w:tc>
          <w:tcPr>
            <w:tcW w:type="dxa" w:w="2880"/>
            <w:tcMar>
              <w:top w:w="45" w:type="dxa"/>
              <w:bottom w:w="45" w:type="dxa"/>
              <w:left w:w="85" w:type="dxa"/>
              <w:right w:w="85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color w:val="000000"/>
                <w:sz w:val="19"/>
              </w:rPr>
              <w:t>get_day_status(target_date), get_season_factor(target_date)</w:t>
            </w:r>
          </w:p>
        </w:tc>
      </w:tr>
      <w:tr>
        <w:trPr>
          <w:cantSplit/>
        </w:trPr>
        <w:tc>
          <w:tcPr>
            <w:tcW w:type="dxa" w:w="2016"/>
            <w:tcMar>
              <w:top w:w="45" w:type="dxa"/>
              <w:bottom w:w="45" w:type="dxa"/>
              <w:left w:w="85" w:type="dxa"/>
              <w:right w:w="85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color w:val="000000"/>
                <w:sz w:val="19"/>
              </w:rPr>
              <w:t>PMS Synchronization &amp; Export</w:t>
            </w:r>
          </w:p>
        </w:tc>
        <w:tc>
          <w:tcPr>
            <w:tcW w:type="dxa" w:w="1728"/>
            <w:tcMar>
              <w:top w:w="45" w:type="dxa"/>
              <w:bottom w:w="45" w:type="dxa"/>
              <w:left w:w="85" w:type="dxa"/>
              <w:right w:w="85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color w:val="000000"/>
                <w:sz w:val="19"/>
              </w:rPr>
              <w:t>Python icalendar</w:t>
            </w:r>
          </w:p>
        </w:tc>
        <w:tc>
          <w:tcPr>
            <w:tcW w:type="dxa" w:w="3312"/>
            <w:tcMar>
              <w:top w:w="45" w:type="dxa"/>
              <w:bottom w:w="45" w:type="dxa"/>
              <w:left w:w="85" w:type="dxa"/>
              <w:right w:w="85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color w:val="000000"/>
                <w:sz w:val="19"/>
              </w:rPr>
              <w:t>Сериализация прайс-листа в RFC 5545 iCal URL и структурированный CSV</w:t>
            </w:r>
          </w:p>
        </w:tc>
        <w:tc>
          <w:tcPr>
            <w:tcW w:type="dxa" w:w="2880"/>
            <w:tcMar>
              <w:top w:w="45" w:type="dxa"/>
              <w:bottom w:w="45" w:type="dxa"/>
              <w:left w:w="85" w:type="dxa"/>
              <w:right w:w="85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color w:val="000000"/>
                <w:sz w:val="19"/>
              </w:rPr>
              <w:t>GET /api/export/ical?token=...</w:t>
            </w:r>
          </w:p>
        </w:tc>
      </w:tr>
      <w:tr>
        <w:trPr>
          <w:cantSplit/>
        </w:trPr>
        <w:tc>
          <w:tcPr>
            <w:tcW w:type="dxa" w:w="2016"/>
            <w:tcMar>
              <w:top w:w="45" w:type="dxa"/>
              <w:bottom w:w="45" w:type="dxa"/>
              <w:left w:w="85" w:type="dxa"/>
              <w:right w:w="85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color w:val="000000"/>
                <w:sz w:val="19"/>
              </w:rPr>
              <w:t>Database Repository</w:t>
            </w:r>
          </w:p>
        </w:tc>
        <w:tc>
          <w:tcPr>
            <w:tcW w:type="dxa" w:w="1728"/>
            <w:tcMar>
              <w:top w:w="45" w:type="dxa"/>
              <w:bottom w:w="45" w:type="dxa"/>
              <w:left w:w="85" w:type="dxa"/>
              <w:right w:w="85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color w:val="000000"/>
                <w:sz w:val="19"/>
              </w:rPr>
              <w:t>SQLAlchemy 2.0</w:t>
            </w:r>
          </w:p>
        </w:tc>
        <w:tc>
          <w:tcPr>
            <w:tcW w:type="dxa" w:w="3312"/>
            <w:tcMar>
              <w:top w:w="45" w:type="dxa"/>
              <w:bottom w:w="45" w:type="dxa"/>
              <w:left w:w="85" w:type="dxa"/>
              <w:right w:w="85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color w:val="000000"/>
                <w:sz w:val="19"/>
              </w:rPr>
              <w:t>Единый компонент абстракции данных (CRUD сущностей в SQLite/PostgreSQL)</w:t>
            </w:r>
          </w:p>
        </w:tc>
        <w:tc>
          <w:tcPr>
            <w:tcW w:type="dxa" w:w="2880"/>
            <w:tcMar>
              <w:top w:w="45" w:type="dxa"/>
              <w:bottom w:w="45" w:type="dxa"/>
              <w:left w:w="85" w:type="dxa"/>
              <w:right w:w="85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color w:val="000000"/>
                <w:sz w:val="19"/>
              </w:rPr>
              <w:t>get_property(), get_bookings(), save_approved_rates()</w:t>
            </w:r>
          </w:p>
        </w:tc>
      </w:tr>
      <w:tr>
        <w:trPr>
          <w:cantSplit/>
        </w:trPr>
        <w:tc>
          <w:tcPr>
            <w:tcW w:type="dxa" w:w="2016"/>
            <w:tcMar>
              <w:top w:w="45" w:type="dxa"/>
              <w:bottom w:w="45" w:type="dxa"/>
              <w:left w:w="85" w:type="dxa"/>
              <w:right w:w="85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color w:val="000000"/>
                <w:sz w:val="19"/>
              </w:rPr>
              <w:t>AI Advisory Copilot</w:t>
            </w:r>
          </w:p>
        </w:tc>
        <w:tc>
          <w:tcPr>
            <w:tcW w:type="dxa" w:w="1728"/>
            <w:tcMar>
              <w:top w:w="45" w:type="dxa"/>
              <w:bottom w:w="45" w:type="dxa"/>
              <w:left w:w="85" w:type="dxa"/>
              <w:right w:w="85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color w:val="000000"/>
                <w:sz w:val="19"/>
              </w:rPr>
              <w:t>Python LLM Agent</w:t>
            </w:r>
          </w:p>
        </w:tc>
        <w:tc>
          <w:tcPr>
            <w:tcW w:type="dxa" w:w="3312"/>
            <w:tcMar>
              <w:top w:w="45" w:type="dxa"/>
              <w:bottom w:w="45" w:type="dxa"/>
              <w:left w:w="85" w:type="dxa"/>
              <w:right w:w="85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color w:val="000000"/>
                <w:sz w:val="19"/>
              </w:rPr>
              <w:t>Формирование бизнес-сводки и маркетинговых подсказок для отельера</w:t>
            </w:r>
          </w:p>
        </w:tc>
        <w:tc>
          <w:tcPr>
            <w:tcW w:type="dxa" w:w="2880"/>
            <w:tcMar>
              <w:top w:w="45" w:type="dxa"/>
              <w:bottom w:w="45" w:type="dxa"/>
              <w:left w:w="85" w:type="dxa"/>
              <w:right w:w="85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color w:val="000000"/>
                <w:sz w:val="19"/>
              </w:rPr>
              <w:t>generate_advisory_summary(rates_matrix)</w:t>
            </w:r>
          </w:p>
        </w:tc>
      </w:tr>
    </w:tbl>
    <w:p>
      <w:pPr>
        <w:spacing w:before="40" w:after="80"/>
      </w:pPr>
    </w:p>
    <w:p>
      <w:pPr>
        <w:keepNext/>
        <w:spacing w:before="260" w:after="60"/>
      </w:pPr>
      <w:r>
        <w:rPr>
          <w:rFonts w:ascii="Calibri" w:hAnsi="Calibri"/>
          <w:b/>
          <w:color w:val="000000"/>
          <w:sz w:val="27"/>
        </w:rPr>
        <w:t>4. Диаграмма компонентов C4 (Уровень 3)</w:t>
      </w:r>
    </w:p>
    <w:p>
      <w:pPr>
        <w:spacing w:before="0" w:after="60" w:line="276" w:lineRule="auto"/>
        <w:jc w:val="left"/>
      </w:pPr>
      <w:r>
        <w:rPr>
          <w:rFonts w:ascii="Calibri" w:hAnsi="Calibri"/>
          <w:b w:val="0"/>
          <w:i w:val="0"/>
          <w:color w:val="000000"/>
          <w:sz w:val="22"/>
        </w:rPr>
        <w:t>На рисунке 1 представлена диаграмма компонентов серверного приложения RevGlamp.</w:t>
      </w:r>
    </w:p>
    <w:p>
      <w:pPr>
        <w:spacing w:before="80" w:after="80"/>
        <w:jc w:val="center"/>
      </w:pPr>
      <w:r>
        <w:drawing>
          <wp:inline xmlns:a="http://schemas.openxmlformats.org/drawingml/2006/main" xmlns:pic="http://schemas.openxmlformats.org/drawingml/2006/picture">
            <wp:extent cx="6217920" cy="378633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4_component_diagram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37863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60" w:line="276" w:lineRule="auto"/>
        <w:jc w:val="center"/>
      </w:pPr>
      <w:r>
        <w:rPr>
          <w:rFonts w:ascii="Calibri" w:hAnsi="Calibri"/>
          <w:b w:val="0"/>
          <w:i/>
          <w:color w:val="000000"/>
          <w:sz w:val="19"/>
        </w:rPr>
        <w:t>Рисунок 1 — Диаграмма компонентов C4 серверного приложения RevGlamp (уровень 3)</w:t>
      </w:r>
    </w:p>
    <w:p>
      <w:pPr>
        <w:keepNext/>
        <w:spacing w:before="260" w:after="60"/>
      </w:pPr>
      <w:r>
        <w:rPr>
          <w:rFonts w:ascii="Calibri" w:hAnsi="Calibri"/>
          <w:b/>
          <w:color w:val="000000"/>
          <w:sz w:val="27"/>
        </w:rPr>
        <w:t>5. Реализация нефункциональных требований (NFR)</w:t>
      </w:r>
    </w:p>
    <w:p>
      <w:pPr>
        <w:spacing w:before="0" w:after="60" w:line="276" w:lineRule="auto"/>
        <w:jc w:val="left"/>
      </w:pPr>
      <w:r>
        <w:rPr>
          <w:rFonts w:ascii="Calibri" w:hAnsi="Calibri"/>
          <w:b w:val="0"/>
          <w:i w:val="0"/>
          <w:color w:val="000000"/>
          <w:sz w:val="22"/>
        </w:rPr>
        <w:t>• Производительность (Latency p95 &lt;= 1.0 с): Математический движок Dynamic Pricing Engine выполняет расчет сетки на 60 дней в памяти без обращений к диску в цикле; Database Repository выполняет выборку данных одним пакетным запросом. Фактический latency на тестах составляет 25–40 мс.</w:t>
      </w:r>
    </w:p>
    <w:p>
      <w:pPr>
        <w:spacing w:before="0" w:after="60" w:line="276" w:lineRule="auto"/>
        <w:jc w:val="left"/>
      </w:pPr>
      <w:r>
        <w:rPr>
          <w:rFonts w:ascii="Calibri" w:hAnsi="Calibri"/>
          <w:b w:val="0"/>
          <w:i w:val="0"/>
          <w:color w:val="000000"/>
          <w:sz w:val="22"/>
        </w:rPr>
        <w:t>• Надежность (Инвариант Floor Price): Фильтр себестоимости встроен непосредственно в Dynamic Pricing Engine: round_100(max(floor_price, P_raw)). Запись в БД невозможна в обход этой функции.</w:t>
      </w:r>
    </w:p>
    <w:p>
      <w:pPr>
        <w:spacing w:before="0" w:after="60" w:line="276" w:lineRule="auto"/>
        <w:jc w:val="left"/>
      </w:pPr>
      <w:r>
        <w:rPr>
          <w:rFonts w:ascii="Calibri" w:hAnsi="Calibri"/>
          <w:b w:val="0"/>
          <w:i w:val="0"/>
          <w:color w:val="000000"/>
          <w:sz w:val="22"/>
        </w:rPr>
        <w:t>• Доступность (Availability 99.5%): Эндпоинт экспорта iCal изолирован в компоненте PMS Synchronization &amp; Export и работает независимо от клиентских интерфейсов.</w:t>
      </w:r>
    </w:p>
    <w:p>
      <w:pPr>
        <w:keepNext/>
        <w:spacing w:before="260" w:after="60"/>
      </w:pPr>
      <w:r>
        <w:rPr>
          <w:rFonts w:ascii="Calibri" w:hAnsi="Calibri"/>
          <w:b/>
          <w:color w:val="000000"/>
          <w:sz w:val="27"/>
        </w:rPr>
        <w:t>6. Анализ модифицируемости (Modifiability Scenarios)</w:t>
      </w:r>
    </w:p>
    <w:p>
      <w:pPr>
        <w:spacing w:before="0" w:after="60" w:line="276" w:lineRule="auto"/>
        <w:jc w:val="left"/>
      </w:pPr>
      <w:r>
        <w:rPr>
          <w:rFonts w:ascii="Calibri" w:hAnsi="Calibri"/>
          <w:b w:val="0"/>
          <w:i w:val="0"/>
          <w:color w:val="000000"/>
          <w:sz w:val="22"/>
        </w:rPr>
        <w:t>Проведена проверка архитектуры на устойчивость к изменениям:</w:t>
      </w:r>
    </w:p>
    <w:p>
      <w:pPr>
        <w:spacing w:before="0" w:after="60" w:line="276" w:lineRule="auto"/>
        <w:jc w:val="left"/>
      </w:pPr>
      <w:r>
        <w:rPr>
          <w:rFonts w:ascii="Calibri" w:hAnsi="Calibri"/>
          <w:b w:val="0"/>
          <w:i w:val="0"/>
          <w:color w:val="000000"/>
          <w:sz w:val="22"/>
        </w:rPr>
        <w:t>1. Сценарий «Замена погодного провайдера»: Переход с Open-Meteo на альтернативный API затрагивает ровно один компонент (Weather Client &amp; Normalizer). Ядро ценообразования не меняется.</w:t>
      </w:r>
    </w:p>
    <w:p>
      <w:pPr>
        <w:spacing w:before="0" w:after="60" w:line="276" w:lineRule="auto"/>
        <w:jc w:val="left"/>
      </w:pPr>
      <w:r>
        <w:rPr>
          <w:rFonts w:ascii="Calibri" w:hAnsi="Calibri"/>
          <w:b w:val="0"/>
          <w:i w:val="0"/>
          <w:color w:val="000000"/>
          <w:sz w:val="22"/>
        </w:rPr>
        <w:t>2. Сценарий «Внедрение ML-модели спроса»: Замена эвристического Booking &amp; Occupancy Manager на обученную модель регрессии требует сохранения существующего интерфейса get_occupancy_factor, что исключает доработку других компонентов.</w:t>
      </w:r>
    </w:p>
    <w:p>
      <w:pPr>
        <w:keepNext/>
        <w:spacing w:before="260" w:after="60"/>
      </w:pPr>
      <w:r>
        <w:rPr>
          <w:rFonts w:ascii="Calibri" w:hAnsi="Calibri"/>
          <w:b/>
          <w:color w:val="000000"/>
          <w:sz w:val="27"/>
        </w:rPr>
        <w:t>7. Результаты взаимной проверки и выводы</w:t>
      </w:r>
    </w:p>
    <w:p>
      <w:pPr>
        <w:spacing w:before="0" w:after="60" w:line="276" w:lineRule="auto"/>
        <w:jc w:val="left"/>
      </w:pPr>
      <w:r>
        <w:rPr>
          <w:rFonts w:ascii="Calibri" w:hAnsi="Calibri"/>
          <w:b w:val="0"/>
          <w:i w:val="0"/>
          <w:color w:val="000000"/>
          <w:sz w:val="22"/>
        </w:rPr>
        <w:t>Диаграмма компонентов C4 полностью согласована с диаграммой контейнеров C4 (ПЗ №5). Архитектура серверного приложения RevGlamp обладает высокой связностью внутри компонентов (High Cohesion) и слабой связностью между ними (Loose Coupling), что гарантирует надежность защиты проекта и простоту последующей реализации.</w:t>
      </w:r>
    </w:p>
    <w:sectPr w:rsidR="00FC693F" w:rsidRPr="0006063C" w:rsidSect="00034616">
      <w:pgSz w:w="12240" w:h="15840"/>
      <w:pgMar w:top="1152" w:right="1152" w:bottom="1152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Белишко Кирилл Андреевич</dc:creator>
  <cp:keywords/>
  <dc:description/>
  <cp:lastModifiedBy>Белишко Кирилл Андреевич</cp:lastModifiedBy>
  <cp:revision>1</cp:revision>
  <dcterms:created xsi:type="dcterms:W3CDTF">2013-12-23T23:15:00Z</dcterms:created>
  <dcterms:modified xsi:type="dcterms:W3CDTF">2013-12-23T23:15:00Z</dcterms:modified>
  <cp:category>Учебная документация</cp:category>
</cp:coreProperties>
</file>