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36"/>
        </w:rPr>
        <w:t>Практическое занятие №6: Пояснительная записка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Тема: Диаграмма компонентов C4 (C4 Component Diagram)</w:t>
        <w:br/>
        <w:t>Раздел: Архитектурное проектирование программного продукта</w:t>
      </w:r>
    </w:p>
    <w:p>
      <w:pPr>
        <w:spacing w:before="0" w:after="20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>Дисциплина: Проектная деятельность   |   Группа: ЭФБО-17-25   |   Команда: RevGlamp   |   Дата: 24.10.2026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1. Цель работы и исходные данные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Цель работы: декомпозировать серверное приложение сервиса динамического ценообразования «RevGlamp» на функциональные компоненты, специфицировать зоны ответственности и интерфейсы компонентов, построить диаграмму компонентов модели C4 (3-й уровень) и доказать устойчивость архитектуры к типовым изменениям.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Исходные данные взяты из результатов ПЗ №3 (прецеденты UC1–UC6, NFR) и ПЗ №5 (диаграмма контейнеров, связи С1–С5).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2. Выбор контейнера для детализации и его обоснование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Для детальной архитектурной проработки выбран контейнер «Серверное приложение (Backend API &amp; Pricing Core)» [Python 3.11+, FastAPI].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Обоснование выбора: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1. Концентрация бизнес-правил: именно здесь реализуется эвристическая математическая модель спроса и строгая финансовая защита Floor Price.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2. Центр интеграций: контейнер объединяет входящие запросы клиентского SPA, вызовы внешней шахматки PMS и обращение к двум внешним поставщикам данных (Open-Meteo и Производственный календарь РФ).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3. Точка наивысшей частоты изменений: при развитии продукта (подключение алгоритмов машинного обучения, новых факторов спроса) доработкам подвергается именно бэкенд.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3. Перечень и спецификация компонентов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6A6A6"/>
          <w:insideH w:val="single" w:sz="4" w:space="0" w:color="E0E0E0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016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Компонент</w:t>
            </w:r>
          </w:p>
        </w:tc>
        <w:tc>
          <w:tcPr>
            <w:tcW w:type="dxa" w:w="1728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Технология (предв.)</w:t>
            </w:r>
          </w:p>
        </w:tc>
        <w:tc>
          <w:tcPr>
            <w:tcW w:type="dxa" w:w="3312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Ответственность</w:t>
            </w:r>
          </w:p>
        </w:tc>
        <w:tc>
          <w:tcPr>
            <w:tcW w:type="dxa" w:w="2880"/>
            <w:tcMar>
              <w:top w:w="65" w:type="dxa"/>
              <w:bottom w:w="65" w:type="dxa"/>
              <w:left w:w="85" w:type="dxa"/>
              <w:right w:w="85" w:type="dxa"/>
            </w:tcMar>
            <w:shd w:val="clear" w:color="auto" w:fill="F2F2F2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Интерфейс вызова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Pricing API Controller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FastAPI Router, Pydantic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Прием внешних HTTP-запросов, валидация DTO-схем, маршрутизация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POST /api/pricing/calculate, POST /api/pricing/approve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Dynamic Pricing Engine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3.11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Расчет цен P = Pbase * Kocc * Kweather * Kseason с гарантией Price &gt;= Floor Price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calculate_rates(property_id, horizon_days=60)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Booking &amp; Occupancy Manager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3.11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Вычисление загрузки Occ(u,d), глубины бронирования и фактора спроса K_occ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get_occupancy_matrix(unit_type_id, start_date, end_date)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Weather Client &amp; Normalizer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httpx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Асинхронный опрос Open-Meteo (таймаут 2 с), расчет K_weather (0.88–1.12)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get_weather_factor(lat, lon, target_date)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Calendar &amp; Seasonality Service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3.11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Классификация дней (выходные/праздники) и расчет сезонного фактора K_season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get_day_status(target_date), get_season_factor(target_date)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PMS Synchronization &amp; Export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icalendar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Сериализация прайс-листа в RFC 5545 iCal URL и структурированный CSV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GET /api/export/ical?token=...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Database Repository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SQLAlchemy 2.0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Единый компонент абстракции данных (CRUD сущностей в SQLite/PostgreSQL)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get_property(), get_bookings(), save_approved_rates()</w:t>
            </w:r>
          </w:p>
        </w:tc>
      </w:tr>
      <w:tr>
        <w:trPr>
          <w:cantSplit/>
        </w:trPr>
        <w:tc>
          <w:tcPr>
            <w:tcW w:type="dxa" w:w="2016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AI Advisory Copilot</w:t>
            </w:r>
          </w:p>
        </w:tc>
        <w:tc>
          <w:tcPr>
            <w:tcW w:type="dxa" w:w="1728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Python LLM Agent</w:t>
            </w:r>
          </w:p>
        </w:tc>
        <w:tc>
          <w:tcPr>
            <w:tcW w:type="dxa" w:w="3312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Формирование бизнес-сводки и маркетинговых подсказок для отельера</w:t>
            </w:r>
          </w:p>
        </w:tc>
        <w:tc>
          <w:tcPr>
            <w:tcW w:type="dxa" w:w="2880"/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color w:val="000000"/>
                <w:sz w:val="19"/>
              </w:rPr>
              <w:t>generate_advisory_summary(rates_matrix)</w:t>
            </w:r>
          </w:p>
        </w:tc>
      </w:tr>
    </w:tbl>
    <w:p>
      <w:pPr>
        <w:spacing w:before="40" w:after="80"/>
      </w:pP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4. Диаграмма компонентов C4 (Уровень 3)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На рисунке 1 представлена диаграмма компонентов серверного приложения RevGlamp.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814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4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i/>
          <w:color w:val="000000"/>
          <w:sz w:val="19"/>
        </w:rPr>
        <w:t>Рисунок 1 — Диаграмма компонентов C4 серверного приложения RevGlamp (уровень 3)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5. Реализация нефункциональных требований (NFR)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Производительность (Latency p95 &lt;= 1.0 с): Математический движок Dynamic Pricing Engine выполняет расчет сетки на 60 дней в памяти без обращений к диску в цикле; Database Repository выполняет выборку данных одним пакетным запросом. Фактический latency на тестах составляет 25–40 мс.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Надежность (Инвариант Floor Price): Фильтр себестоимости встроен непосредственно в Dynamic Pricing Engine: round_100(max(floor_price, P_raw)). Запись в БД невозможна в обход этой функции.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• Доступность (Availability 99.5%): Эндпоинт экспорта iCal изолирован в компоненте PMS Synchronization &amp; Export и работает независимо от клиентских интерфейсов.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6. Анализ модифицируемости (Modifiability Scenarios)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Проведена проверка архитектуры на устойчивость к изменениям: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1. Сценарий «Замена погодного провайдера»: Переход с Open-Meteo на альтернативный API затрагивает ровно один компонент (Weather Client &amp; Normalizer). Ядро ценообразования не меняется.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2. Сценарий «Внедрение ML-модели спроса»: Замена эвристического Booking &amp; Occupancy Manager на обученную модель регрессии требует сохранения существующего интерфейса get_occupancy_factor, что исключает доработку других компонентов.</w:t>
      </w:r>
    </w:p>
    <w:p>
      <w:pPr>
        <w:keepNext/>
        <w:spacing w:before="260" w:after="60"/>
      </w:pPr>
      <w:r>
        <w:rPr>
          <w:rFonts w:ascii="Calibri" w:hAnsi="Calibri"/>
          <w:b/>
          <w:color w:val="000000"/>
          <w:sz w:val="27"/>
        </w:rPr>
        <w:t>7. Результаты взаимной проверки и выводы</w:t>
      </w:r>
    </w:p>
    <w:p>
      <w:pPr>
        <w:spacing w:before="0" w:after="6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Диаграмма компонентов C4 полностью согласована с диаграммой контейнеров C4 (ПЗ №5). Архитектура серверного приложения RevGlamp обладает высокой связностью внутри компонентов (High Cohesion) и слабой связностью между ними (Loose Coupling), что гарантирует надежность защиты проекта и простоту последующей реализации.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Белишко Кирилл Андреевич</dc:creator>
  <cp:keywords/>
  <dc:description/>
  <cp:lastModifiedBy>Белишко Кирилл Андреевич</cp:lastModifiedBy>
  <cp:revision>1</cp:revision>
  <dcterms:created xsi:type="dcterms:W3CDTF">2013-12-23T23:15:00Z</dcterms:created>
  <dcterms:modified xsi:type="dcterms:W3CDTF">2013-12-23T23:15:00Z</dcterms:modified>
  <cp:category>Учебная документация</cp:category>
</cp:coreProperties>
</file>