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36"/>
        </w:rPr>
        <w:t>Практическое занятие №6. Раздаточные материалы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Тема: Диаграмма компонентов C4 (C4 Component Diagram)</w:t>
        <w:br/>
        <w:t>Проект: Сервис динамического ценообразования для малых средств размещения (RevGlamp)</w:t>
      </w:r>
    </w:p>
    <w:p>
      <w:pPr>
        <w:spacing w:before="0" w:after="160" w:line="276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Группа: ЭФБО-17-25   |   Команда: RevGlamp   |   Дата: 24.10.2026   |   Руководитель: Белишко Кирилл Андреевич</w:t>
      </w:r>
    </w:p>
    <w:p>
      <w:pPr>
        <w:keepNext/>
        <w:spacing w:before="160" w:after="40"/>
      </w:pPr>
      <w:r>
        <w:rPr>
          <w:rFonts w:ascii="Calibri" w:hAnsi="Calibri"/>
          <w:b/>
          <w:color w:val="000000"/>
          <w:sz w:val="22"/>
        </w:rPr>
        <w:t>Памятка: правила составления диаграммы компонентов C4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60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Правило</w:t>
            </w:r>
          </w:p>
        </w:tc>
        <w:tc>
          <w:tcPr>
            <w:tcW w:type="dxa" w:w="532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Проверка</w:t>
            </w:r>
          </w:p>
        </w:tc>
      </w:tr>
      <w:tr>
        <w:trPr>
          <w:cantSplit/>
        </w:trPr>
        <w:tc>
          <w:tcPr>
            <w:tcW w:type="dxa" w:w="46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Компонент — группа связанных функций за четким интерфейсом внутри одного процесса</w:t>
            </w:r>
          </w:p>
        </w:tc>
        <w:tc>
          <w:tcPr>
            <w:tcW w:type="dxa" w:w="53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Не нарисованы отдельные классы, файлы utils, таблицы БД, слои целиком? Да</w:t>
            </w:r>
          </w:p>
        </w:tc>
      </w:tr>
      <w:tr>
        <w:trPr>
          <w:cantSplit/>
        </w:trPr>
        <w:tc>
          <w:tcPr>
            <w:tcW w:type="dxa" w:w="46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На одной диаграмме детализируется ровно один контейнер (Серверное приложение)</w:t>
            </w:r>
          </w:p>
        </w:tc>
        <w:tc>
          <w:tcPr>
            <w:tcW w:type="dxa" w:w="53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Граница подписана: Серверное приложение [Контейнер: Python, FastAPI]? Да</w:t>
            </w:r>
          </w:p>
        </w:tc>
      </w:tr>
      <w:tr>
        <w:trPr>
          <w:cantSplit/>
        </w:trPr>
        <w:tc>
          <w:tcPr>
            <w:tcW w:type="dxa" w:w="46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Снаружи границы — только элементы, напрямую связанные с компонентами</w:t>
            </w:r>
          </w:p>
        </w:tc>
        <w:tc>
          <w:tcPr>
            <w:tcW w:type="dxa" w:w="53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Присутствуют Веб-календарь, База данных, Open-Meteo, Календарь РФ, PMS? Да</w:t>
            </w:r>
          </w:p>
        </w:tc>
      </w:tr>
      <w:tr>
        <w:trPr>
          <w:cantSplit/>
        </w:trPr>
        <w:tc>
          <w:tcPr>
            <w:tcW w:type="dxa" w:w="46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В каждом компоненте три строки: название, тип с технологией «предварительно», описание</w:t>
            </w:r>
          </w:p>
        </w:tc>
        <w:tc>
          <w:tcPr>
            <w:tcW w:type="dxa" w:w="53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По названию понятна зона ответственности компонента? Да</w:t>
            </w:r>
          </w:p>
        </w:tc>
      </w:tr>
      <w:tr>
        <w:trPr>
          <w:cantSplit/>
        </w:trPr>
        <w:tc>
          <w:tcPr>
            <w:tcW w:type="dxa" w:w="46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У связей с другими контейнерами указана технология [JSON/HTTPS], [SQL]</w:t>
            </w:r>
          </w:p>
        </w:tc>
        <w:tc>
          <w:tcPr>
            <w:tcW w:type="dxa" w:w="53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У связей между компонентами одного процесса технология не пишется? Да, стоит «—»</w:t>
            </w:r>
          </w:p>
        </w:tc>
      </w:tr>
      <w:tr>
        <w:trPr>
          <w:cantSplit/>
        </w:trPr>
        <w:tc>
          <w:tcPr>
            <w:tcW w:type="dxa" w:w="46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Каждый Use Case, проходящий через контейнер, проходится по стрелкам компонентов</w:t>
            </w:r>
          </w:p>
        </w:tc>
        <w:tc>
          <w:tcPr>
            <w:tcW w:type="dxa" w:w="53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Можно провести путь от запроса API до сохранения данных в БД? Да</w:t>
            </w:r>
          </w:p>
        </w:tc>
      </w:tr>
      <w:tr>
        <w:trPr>
          <w:cantSplit/>
        </w:trPr>
        <w:tc>
          <w:tcPr>
            <w:tcW w:type="dxa" w:w="46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Диаграмма проверена на устойчивость к типовым изменениям продукта</w:t>
            </w:r>
          </w:p>
        </w:tc>
        <w:tc>
          <w:tcPr>
            <w:tcW w:type="dxa" w:w="53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Замена внешнего сервиса или изменение правила задевает 1–2 компонента? Да</w:t>
            </w:r>
          </w:p>
        </w:tc>
      </w:tr>
    </w:tbl>
    <w:p>
      <w:pPr>
        <w:spacing w:before="40"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Бланк 1. Выбранный контейнер и его связи (с диаграммы контейнеров ПЗ №5)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/>
          <w:color w:val="000000"/>
          <w:sz w:val="19"/>
        </w:rPr>
        <w:t>Контейнер: Серверное приложение [Контейнер: Python 3.11+, FastAPI, предварительно].</w:t>
        <w:br/>
        <w:t>Причина выбора: В серверном приложении сосредоточена вся бизнес-логика ценообразования, валидация лимитов себестоимости и внешние интеграции; сюда вносится 90% изменений.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57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№</w:t>
            </w:r>
          </w:p>
        </w:tc>
        <w:tc>
          <w:tcPr>
            <w:tcW w:type="dxa" w:w="2304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От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К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Подпись (с диаграммы контейнеров)</w:t>
            </w:r>
          </w:p>
        </w:tc>
        <w:tc>
          <w:tcPr>
            <w:tcW w:type="dxa" w:w="1584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Технология, предварительно</w:t>
            </w:r>
          </w:p>
        </w:tc>
        <w:tc>
          <w:tcPr>
            <w:tcW w:type="dxa" w:w="864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Use Case</w:t>
            </w:r>
          </w:p>
        </w:tc>
      </w:tr>
      <w:tr>
        <w:trPr>
          <w:cantSplit/>
        </w:trPr>
        <w:tc>
          <w:tcPr>
            <w:tcW w:type="dxa" w:w="57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С1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Веб-календарь тарифов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Запрашивает расчет тарифов, передает утвержденные цены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JSON/HTTPS, предварительно</w:t>
            </w:r>
          </w:p>
        </w:tc>
        <w:tc>
          <w:tcPr>
            <w:tcW w:type="dxa" w:w="86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UC1, UC2, UC4, UC5</w:t>
            </w:r>
          </w:p>
        </w:tc>
      </w:tr>
      <w:tr>
        <w:trPr>
          <w:cantSplit/>
        </w:trPr>
        <w:tc>
          <w:tcPr>
            <w:tcW w:type="dxa" w:w="57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С2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База данных тарифов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Читает параметры категорий и историю броней, сохраняет утвержденные цены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SQL, предварительно</w:t>
            </w:r>
          </w:p>
        </w:tc>
        <w:tc>
          <w:tcPr>
            <w:tcW w:type="dxa" w:w="86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UC1, UC2, UC4, UC5, UC6</w:t>
            </w:r>
          </w:p>
        </w:tc>
      </w:tr>
      <w:tr>
        <w:trPr>
          <w:cantSplit/>
        </w:trPr>
        <w:tc>
          <w:tcPr>
            <w:tcW w:type="dxa" w:w="57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С3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Погодный сервис (Open-Meteo)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Запрашивает посуточный прогноз осадков и t° на 14 дней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JSON/HTTPS REST, предварительно</w:t>
            </w:r>
          </w:p>
        </w:tc>
        <w:tc>
          <w:tcPr>
            <w:tcW w:type="dxa" w:w="86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UC3</w:t>
            </w:r>
          </w:p>
        </w:tc>
      </w:tr>
      <w:tr>
        <w:trPr>
          <w:cantSplit/>
        </w:trPr>
        <w:tc>
          <w:tcPr>
            <w:tcW w:type="dxa" w:w="57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С4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Производственный календарь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Запрашивает статус праздничных и предпраздничных дней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JSON/HTTPS, предварительно</w:t>
            </w:r>
          </w:p>
        </w:tc>
        <w:tc>
          <w:tcPr>
            <w:tcW w:type="dxa" w:w="86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UC3</w:t>
            </w:r>
          </w:p>
        </w:tc>
      </w:tr>
      <w:tr>
        <w:trPr>
          <w:cantSplit/>
        </w:trPr>
        <w:tc>
          <w:tcPr>
            <w:tcW w:type="dxa" w:w="57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С5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Система отеля (PMS)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Серверное приложение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Считывает утвержденную сетку тарифов по ссылке iCal URL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RFC 5545 iCal / HTTP GET, предварительно</w:t>
            </w:r>
          </w:p>
        </w:tc>
        <w:tc>
          <w:tcPr>
            <w:tcW w:type="dxa" w:w="86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UC6</w:t>
            </w:r>
          </w:p>
        </w:tc>
      </w:tr>
    </w:tbl>
    <w:p>
      <w:pPr>
        <w:spacing w:before="40"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Бланк 2. Компоненты серверного приложения</w:t>
      </w:r>
    </w:p>
    <w:p>
      <w:pPr>
        <w:keepNext/>
        <w:spacing w:before="160" w:after="40"/>
      </w:pPr>
      <w:r>
        <w:rPr>
          <w:rFonts w:ascii="Calibri" w:hAnsi="Calibri"/>
          <w:b/>
          <w:color w:val="000000"/>
          <w:sz w:val="22"/>
        </w:rPr>
        <w:t>Ответы на вопросы поиска компонентов: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360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Вопрос</w:t>
            </w:r>
          </w:p>
        </w:tc>
        <w:tc>
          <w:tcPr>
            <w:tcW w:type="dxa" w:w="633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Ответ проектной команды RevGlamp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1. Что принимает запросы, приходящие в контейнер?</w:t>
            </w:r>
          </w:p>
        </w:tc>
        <w:tc>
          <w:tcPr>
            <w:tcW w:type="dxa" w:w="63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Pricing API Controller принимает HTTP-запросы от веб-календаря, а PMS Synchronization &amp; Export принимает вызовы от внешней шахматки PMS.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2. Какие правила продукта выполняет контейнер и как они группируются?</w:t>
            </w:r>
          </w:p>
        </w:tc>
        <w:tc>
          <w:tcPr>
            <w:tcW w:type="dxa" w:w="63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Три области: Dynamic Pricing Engine (формула эластичности и защита Floor Price), Booking &amp; Occupancy Manager (темп броней и загрузка), Calendar Service (праздники и сезонность).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3. Кто проверяет вход и права?</w:t>
            </w:r>
          </w:p>
        </w:tc>
        <w:tc>
          <w:tcPr>
            <w:tcW w:type="dxa" w:w="63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 рамках MVP 1-го семестра доступ к веб-панели локален; валидацию структуры и корректности параметров выполняет Pydantic-схема в Pricing API Controller.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4. Какая часть обращается к каждому хранилищу и внешней системе?</w:t>
            </w:r>
          </w:p>
        </w:tc>
        <w:tc>
          <w:tcPr>
            <w:tcW w:type="dxa" w:w="63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К БД — Database Repository. К Open-Meteo — Weather Client &amp; Normalizer. К производственному календарю — Calendar Service. К PMS — PMS Synchronization &amp; Export.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000000"/>
          <w:sz w:val="22"/>
        </w:rPr>
        <w:t>Спецификация компонентов серверного приложения RevGlamp: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201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Компонент (название)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Технология, предварительно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Ответственность (1–2 строки)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Интерфейс: запрашивают / передают</w:t>
            </w:r>
          </w:p>
        </w:tc>
        <w:tc>
          <w:tcPr>
            <w:tcW w:type="dxa" w:w="1152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Откуда взялся</w:t>
            </w:r>
          </w:p>
        </w:tc>
      </w:tr>
      <w:tr>
        <w:trPr>
          <w:cantSplit/>
        </w:trPr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Pricing API Controller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FastAPI Router, Pydantic, предв.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Маршрутизирует HTTP-запросы календаря, валидирует входные параметры объектов и цен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Запрос расчета тарифов / Сетка цен; Передача утвержденных цен / Статус ОК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С1; UC1, UC5</w:t>
            </w:r>
          </w:p>
        </w:tc>
      </w:tr>
      <w:tr>
        <w:trPr>
          <w:cantSplit/>
        </w:trPr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Dynamic Pricing Engine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Python 3.11, предв.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Рассчитывает цены по формуле эластичности P = Pbase * Kocc * Kweather * Kseason; соблюдает Floor Price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Запрос рекомендаций на 60 дней / Посуточный расчет с декомпозицией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UC4; НФТ1, НФТ2</w:t>
            </w:r>
          </w:p>
        </w:tc>
      </w:tr>
      <w:tr>
        <w:trPr>
          <w:cantSplit/>
        </w:trPr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Booking &amp; Occupancy Manager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Python 3.11, предв.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Рассчитывает фактическую занятость Occ(u,d), глубину бронирования (Lead Time) и множитель K_occ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Запрос загрузки на дату / Коэффициент K_occ (0.85–1.35)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С1, С2; UC1, UC4</w:t>
            </w:r>
          </w:p>
        </w:tc>
      </w:tr>
      <w:tr>
        <w:trPr>
          <w:cantSplit/>
        </w:trPr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Weather Client &amp; Normalizer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Python httpx, предв.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Опрашивает Open-Meteo с таймаутом 2.0 с, нормализует температуру и осадки, отдает K_weather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Запрос прогноза на 14 дней / Коэффициент K_weather (0.88–1.12)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С3; UC3, UC4</w:t>
            </w:r>
          </w:p>
        </w:tc>
      </w:tr>
      <w:tr>
        <w:trPr>
          <w:cantSplit/>
        </w:trPr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Calendar &amp; Seasonality Service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Python 3.11, предв.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Анализирует праздники РФ и дни недели, определяет базовую ставку (будни/выходные) и K_season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Запрос даты / Статус дня, базовая ставка и K_season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С4; UC3, UC4</w:t>
            </w:r>
          </w:p>
        </w:tc>
      </w:tr>
      <w:tr>
        <w:trPr>
          <w:cantSplit/>
        </w:trPr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PMS Synchronization &amp; Export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Python icalendar, предв.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Генерирует экспортный поток RFC 5545 (iCal URL) и файл CSV для внешней шахматки отеля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Запрос iCal по токену / Поток VEVENT с ценами в SUMMARY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С5; UC6; НФТ3</w:t>
            </w:r>
          </w:p>
        </w:tc>
      </w:tr>
      <w:tr>
        <w:trPr>
          <w:cantSplit/>
        </w:trPr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Database Repository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SQLAlchemy 2.0, предв.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Единый компонент доступа к базе данных: инкапсулирует SQL-запросы чтения/записи сущностей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Методы: get_unit_types(), get_bookings(), save_approved_rates()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С2; UC1, UC2, UC5; НФТ2</w:t>
            </w:r>
          </w:p>
        </w:tc>
      </w:tr>
      <w:tr>
        <w:trPr>
          <w:cantSplit/>
        </w:trPr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AI Advisory Copilot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Python LLM Agent, предв.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Генерирует на русском языке объяснение логики тарифов и маркетинговые советы отельеру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Запрос анализа сетки / Текстовая аналитическая сводка с рекомендациями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Доп. ценность MVP</w:t>
            </w:r>
          </w:p>
        </w:tc>
      </w:tr>
    </w:tbl>
    <w:p>
      <w:pPr>
        <w:spacing w:before="40"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Бланк 3. Реестр связей компонентов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/>
          <w:cantSplit/>
        </w:trPr>
        <w:tc>
          <w:tcPr>
            <w:tcW w:type="dxa" w:w="504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№</w:t>
            </w:r>
          </w:p>
        </w:tc>
        <w:tc>
          <w:tcPr>
            <w:tcW w:type="dxa" w:w="180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От</w:t>
            </w:r>
          </w:p>
        </w:tc>
        <w:tc>
          <w:tcPr>
            <w:tcW w:type="dxa" w:w="180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К</w:t>
            </w:r>
          </w:p>
        </w:tc>
        <w:tc>
          <w:tcPr>
            <w:tcW w:type="dxa" w:w="252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Подпись: что делает источник</w:t>
            </w:r>
          </w:p>
        </w:tc>
        <w:tc>
          <w:tcPr>
            <w:tcW w:type="dxa" w:w="129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Технология, предв.</w:t>
            </w:r>
          </w:p>
        </w:tc>
        <w:tc>
          <w:tcPr>
            <w:tcW w:type="dxa" w:w="108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Use Case</w:t>
            </w:r>
          </w:p>
        </w:tc>
        <w:tc>
          <w:tcPr>
            <w:tcW w:type="dxa" w:w="93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Из связи С… / новая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1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Веб-календарь тарифов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Pricing API Controller</w:t>
            </w:r>
          </w:p>
        </w:tc>
        <w:tc>
          <w:tcPr>
            <w:tcW w:type="dxa" w:w="252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Передает запросы на расчет и утверждение тарифов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JSON/HTTPS, предв.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UC1, UC2, UC5</w:t>
            </w:r>
          </w:p>
        </w:tc>
        <w:tc>
          <w:tcPr>
            <w:tcW w:type="dxa" w:w="9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С1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2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Pricing API Controller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Dynamic Pricing Engine</w:t>
            </w:r>
          </w:p>
        </w:tc>
        <w:tc>
          <w:tcPr>
            <w:tcW w:type="dxa" w:w="252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Инициирует расчет матрицы тарифов на 60 дней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—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UC4</w:t>
            </w:r>
          </w:p>
        </w:tc>
        <w:tc>
          <w:tcPr>
            <w:tcW w:type="dxa" w:w="9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Новая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3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Dynamic Pricing Engine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Booking &amp; Occupancy Manager</w:t>
            </w:r>
          </w:p>
        </w:tc>
        <w:tc>
          <w:tcPr>
            <w:tcW w:type="dxa" w:w="252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Запрашивает процент занятости и темп броней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—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UC4</w:t>
            </w:r>
          </w:p>
        </w:tc>
        <w:tc>
          <w:tcPr>
            <w:tcW w:type="dxa" w:w="9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Новая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4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Dynamic Pricing Engine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Weather Client &amp; Normalizer</w:t>
            </w:r>
          </w:p>
        </w:tc>
        <w:tc>
          <w:tcPr>
            <w:tcW w:type="dxa" w:w="252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Запрашивает суточный погодный коэффициент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—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UC3, UC4</w:t>
            </w:r>
          </w:p>
        </w:tc>
        <w:tc>
          <w:tcPr>
            <w:tcW w:type="dxa" w:w="9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Новая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5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Dynamic Pricing Engine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Calendar &amp; Seasonality Service</w:t>
            </w:r>
          </w:p>
        </w:tc>
        <w:tc>
          <w:tcPr>
            <w:tcW w:type="dxa" w:w="252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Запрашивает статус дня (праздник/выходной) и K_season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—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UC3, UC4</w:t>
            </w:r>
          </w:p>
        </w:tc>
        <w:tc>
          <w:tcPr>
            <w:tcW w:type="dxa" w:w="9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Новая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6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Dynamic Pricing Engine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Database Repository</w:t>
            </w:r>
          </w:p>
        </w:tc>
        <w:tc>
          <w:tcPr>
            <w:tcW w:type="dxa" w:w="252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Читает базовые ставки, Floor Price; сохраняет утвержденные цены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—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UC2, UC5</w:t>
            </w:r>
          </w:p>
        </w:tc>
        <w:tc>
          <w:tcPr>
            <w:tcW w:type="dxa" w:w="9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Новая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7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Booking &amp; Occupancy Manager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Database Repository</w:t>
            </w:r>
          </w:p>
        </w:tc>
        <w:tc>
          <w:tcPr>
            <w:tcW w:type="dxa" w:w="252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Читает фактические бронирования номеров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—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UC1, UC4</w:t>
            </w:r>
          </w:p>
        </w:tc>
        <w:tc>
          <w:tcPr>
            <w:tcW w:type="dxa" w:w="9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Новая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8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Database Repository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База данных тарифов</w:t>
            </w:r>
          </w:p>
        </w:tc>
        <w:tc>
          <w:tcPr>
            <w:tcW w:type="dxa" w:w="252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Выполняет транзакционные запросы SELECT/INSERT/UPDATE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SQL, предв.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UC1, UC2, UC5</w:t>
            </w:r>
          </w:p>
        </w:tc>
        <w:tc>
          <w:tcPr>
            <w:tcW w:type="dxa" w:w="9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С2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9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Weather Client &amp; Normalizer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Погодный сервис (Open-Meteo)</w:t>
            </w:r>
          </w:p>
        </w:tc>
        <w:tc>
          <w:tcPr>
            <w:tcW w:type="dxa" w:w="252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Запрашивает температуру и осадки на 14 дней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JSON/HTTPS REST, предв.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UC3</w:t>
            </w:r>
          </w:p>
        </w:tc>
        <w:tc>
          <w:tcPr>
            <w:tcW w:type="dxa" w:w="9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С3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10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Calendar &amp; Seasonality Service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Производственный календарь</w:t>
            </w:r>
          </w:p>
        </w:tc>
        <w:tc>
          <w:tcPr>
            <w:tcW w:type="dxa" w:w="252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Запрашивает календарь праздников на текущий год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JSON/HTTPS, предв.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UC3</w:t>
            </w:r>
          </w:p>
        </w:tc>
        <w:tc>
          <w:tcPr>
            <w:tcW w:type="dxa" w:w="9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С4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11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Система отеля (PMS)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PMS Synchronization &amp; Export</w:t>
            </w:r>
          </w:p>
        </w:tc>
        <w:tc>
          <w:tcPr>
            <w:tcW w:type="dxa" w:w="252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Запрашивает актуальный экспортный поток тарифов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RFC 5545 iCal, предв.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UC6</w:t>
            </w:r>
          </w:p>
        </w:tc>
        <w:tc>
          <w:tcPr>
            <w:tcW w:type="dxa" w:w="9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С5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12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PMS Synchronization &amp; Export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Database Repository</w:t>
            </w:r>
          </w:p>
        </w:tc>
        <w:tc>
          <w:tcPr>
            <w:tcW w:type="dxa" w:w="252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Считывает утвержденные тарифы для формирования iCal/CSV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—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UC6</w:t>
            </w:r>
          </w:p>
        </w:tc>
        <w:tc>
          <w:tcPr>
            <w:tcW w:type="dxa" w:w="9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Новая</w:t>
            </w:r>
          </w:p>
        </w:tc>
      </w:tr>
      <w:tr>
        <w:trPr>
          <w:cantSplit/>
        </w:trPr>
        <w:tc>
          <w:tcPr>
            <w:tcW w:type="dxa" w:w="50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13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Dynamic Pricing Engine</w:t>
            </w:r>
          </w:p>
        </w:tc>
        <w:tc>
          <w:tcPr>
            <w:tcW w:type="dxa" w:w="18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AI Advisory Copilot</w:t>
            </w:r>
          </w:p>
        </w:tc>
        <w:tc>
          <w:tcPr>
            <w:tcW w:type="dxa" w:w="252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Передает матрицу цен для генерации текстовых подсказок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—</w:t>
            </w:r>
          </w:p>
        </w:tc>
        <w:tc>
          <w:tcPr>
            <w:tcW w:type="dxa" w:w="10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Доп. анализ</w:t>
            </w:r>
          </w:p>
        </w:tc>
        <w:tc>
          <w:tcPr>
            <w:tcW w:type="dxa" w:w="9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Новая</w:t>
            </w:r>
          </w:p>
        </w:tc>
      </w:tr>
    </w:tbl>
    <w:p>
      <w:pPr>
        <w:spacing w:before="40"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Бланк 4. Требования к качеству (НФТ) и типовые изменения</w:t>
      </w:r>
    </w:p>
    <w:p>
      <w:pPr>
        <w:keepNext/>
        <w:spacing w:before="160" w:after="40"/>
      </w:pPr>
      <w:r>
        <w:rPr>
          <w:rFonts w:ascii="Calibri" w:hAnsi="Calibri"/>
          <w:b/>
          <w:color w:val="000000"/>
          <w:sz w:val="22"/>
        </w:rPr>
        <w:t>Трассировка нефункциональных требований по компонентам: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592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Требование (ПЗ №3)</w:t>
            </w:r>
          </w:p>
        </w:tc>
        <w:tc>
          <w:tcPr>
            <w:tcW w:type="dxa" w:w="201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Какой компонент отвечает</w:t>
            </w:r>
          </w:p>
        </w:tc>
        <w:tc>
          <w:tcPr>
            <w:tcW w:type="dxa" w:w="2592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Меняет ли разбиение на компоненты</w:t>
            </w:r>
          </w:p>
        </w:tc>
        <w:tc>
          <w:tcPr>
            <w:tcW w:type="dxa" w:w="273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Что не видно на диаграмме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НФТ1. Расчет тарифов на 60 дней за p95 &lt;= 1.0 с при 50 пользователях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Dynamic Pricing Engine, Database Repository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Нет. Расчет матричный в оперативной памяти (25–40 мс), доступ к БД оптимизирован через единый репозиторий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Векторизация вычислений NumPy, индексы по датам в SQLite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НФТ2. 100% утвержденных цен удовлетворяют условию Price &gt;= Floor_Price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Dynamic Pricing Engine, Database Repository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Да. Защитный фильтр вынесен в ядро расчета; контроллеры не могут записать цену в обход Engine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CHECK constraint в SQL, модульные assert-тесты валидации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НФТ3. Доступность эндпоинта экспорта iCal не менее 99.5% за месяц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PMS Synchronization &amp; Export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Да. Логика генерации iCal изолирована в отдельный компонент; сбои UI не влияют на экспорт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Файловый кэш прайс-листа, таймауты сетевых сокетов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НФТ4. Утверждение тарифов за &lt;= 3 мин и &lt;= 3 кликов</w:t>
            </w:r>
          </w:p>
        </w:tc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Pricing API Controller</w:t>
            </w:r>
          </w:p>
        </w:tc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Нет. Обеспечивается пакетным эндпоинтом /approve_period, сохраняющим весь диапазон за 1 вызов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Сжатие JSON-ответов, структура HTTP-заголовков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000000"/>
          <w:sz w:val="22"/>
        </w:rPr>
        <w:t>Оценка устойчивости к типовым изменениям: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316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Типовое изменение</w:t>
            </w:r>
          </w:p>
        </w:tc>
        <w:tc>
          <w:tcPr>
            <w:tcW w:type="dxa" w:w="244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Какие компоненты затронет</w:t>
            </w:r>
          </w:p>
        </w:tc>
        <w:tc>
          <w:tcPr>
            <w:tcW w:type="dxa" w:w="864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Сколько</w:t>
            </w:r>
          </w:p>
        </w:tc>
        <w:tc>
          <w:tcPr>
            <w:tcW w:type="dxa" w:w="345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Вывод об архитектуре</w:t>
            </w:r>
          </w:p>
        </w:tc>
      </w:tr>
      <w:tr>
        <w:trPr>
          <w:cantSplit/>
        </w:trPr>
        <w:tc>
          <w:tcPr>
            <w:tcW w:type="dxa" w:w="316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1. Сменить внешний погодный сервис (с Open-Meteo на Яндекс.Погоду)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Weather Client &amp; Normalizer</w:t>
            </w:r>
          </w:p>
        </w:tc>
        <w:tc>
          <w:tcPr>
            <w:tcW w:type="dxa" w:w="86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  <w:tc>
          <w:tcPr>
            <w:tcW w:type="dxa" w:w="345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Идеальная локализация: замена внешнего API требует правки только одного адаптера. Ядро расчета цен не затрагивается.</w:t>
            </w:r>
          </w:p>
        </w:tc>
      </w:tr>
      <w:tr>
        <w:trPr>
          <w:cantSplit/>
        </w:trPr>
        <w:tc>
          <w:tcPr>
            <w:tcW w:type="dxa" w:w="316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2. Добавить новый фактор ценообразования (учет открытых цен конкурентов)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Dynamic Pricing Engine, Database Repository</w:t>
            </w:r>
          </w:p>
        </w:tc>
        <w:tc>
          <w:tcPr>
            <w:tcW w:type="dxa" w:w="864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345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Высокая модульность: добавляется чтение цен конкурентов в репозиторий и новый множитель K_comp в формулу ядра.</w:t>
            </w:r>
          </w:p>
        </w:tc>
      </w:tr>
    </w:tbl>
    <w:p>
      <w:pPr>
        <w:spacing w:before="40"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Бланк 5. Диаграмма компонентов C4 (Уровень 3)</w:t>
      </w:r>
    </w:p>
    <w:p>
      <w:pPr>
        <w:spacing w:before="0" w:after="60" w:line="276" w:lineRule="auto"/>
        <w:jc w:val="left"/>
      </w:pPr>
      <w:r>
        <w:rPr>
          <w:rFonts w:ascii="Calibri" w:hAnsi="Calibri"/>
          <w:b/>
          <w:i w:val="0"/>
          <w:color w:val="000000"/>
          <w:sz w:val="20"/>
        </w:rPr>
        <w:t>Название диаграммы: RevGlamp Backend API — Диаграмма компонентов (C4 Component Diagram)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814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4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i/>
          <w:color w:val="000000"/>
          <w:sz w:val="19"/>
        </w:rPr>
        <w:t>Рисунок 1 — Диаграмма компонентов C4 серверного приложения RevGlamp</w:t>
      </w: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Бланк 5 (продолжение). Что не показано на диаграмме компонентов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388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Что не показано</w:t>
            </w:r>
          </w:p>
        </w:tc>
        <w:tc>
          <w:tcPr>
            <w:tcW w:type="dxa" w:w="604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Почему не показано на диаграмме компонентов</w:t>
            </w:r>
          </w:p>
        </w:tc>
      </w:tr>
      <w:tr>
        <w:trPr>
          <w:cantSplit/>
        </w:trPr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Отдельные классы, файлы utils, валидаторы Pydantic</w:t>
            </w:r>
          </w:p>
        </w:tc>
        <w:tc>
          <w:tcPr>
            <w:tcW w:type="dxa" w:w="60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Уровень исходного кода (C4 Code Level) — в рамках дисциплины детально не моделируется.</w:t>
            </w:r>
          </w:p>
        </w:tc>
      </w:tr>
      <w:tr>
        <w:trPr>
          <w:cantSplit/>
        </w:trPr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Таблицы базы данных (properties, unit_types, rates)</w:t>
            </w:r>
          </w:p>
        </w:tc>
        <w:tc>
          <w:tcPr>
            <w:tcW w:type="dxa" w:w="60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Модель данных БД — подробно разрабатывается на Практическом занятии №7.</w:t>
            </w:r>
          </w:p>
        </w:tc>
      </w:tr>
      <w:tr>
        <w:trPr>
          <w:cantSplit/>
        </w:trPr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Люди (Управляющий, Собственник)</w:t>
            </w:r>
          </w:p>
        </w:tc>
        <w:tc>
          <w:tcPr>
            <w:tcW w:type="dxa" w:w="60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Люди работают с системой через Веб-календарь и напрямую с серверными компонентами не связаны.</w:t>
            </w:r>
          </w:p>
        </w:tc>
      </w:tr>
      <w:tr>
        <w:trPr>
          <w:cantSplit/>
        </w:trPr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Фреймворк FastAPI целиком отдельным элементом</w:t>
            </w:r>
          </w:p>
        </w:tc>
        <w:tc>
          <w:tcPr>
            <w:tcW w:type="dxa" w:w="604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Технология реализации: указывается в квадратных скобках у соответствующих компонентов.</w:t>
            </w:r>
          </w:p>
        </w:tc>
      </w:tr>
    </w:tbl>
    <w:p>
      <w:pPr>
        <w:spacing w:before="40"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Бланк 6. Сверка диаграммы компонентов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360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Проверка</w:t>
            </w:r>
          </w:p>
        </w:tc>
        <w:tc>
          <w:tcPr>
            <w:tcW w:type="dxa" w:w="129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До проверки</w:t>
            </w:r>
          </w:p>
        </w:tc>
        <w:tc>
          <w:tcPr>
            <w:tcW w:type="dxa" w:w="388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Что исправлено</w:t>
            </w:r>
          </w:p>
        </w:tc>
        <w:tc>
          <w:tcPr>
            <w:tcW w:type="dxa" w:w="1152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Итог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1. Все связи серверного контейнера (С1–С5) отражены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Все внешние связи распределены по конкретным компонентам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2. Снаружи границы — только напрямую связанные элементы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Люди исключены, показаны только Веб-календарь, БД и внешние системы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3. Обязанности компонентов распределены без дублирования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Формула расчета — только в Engine, доступ к БД — только в Repository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4. Каждый Use Case проходится по цепочке стрелок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UC1–UC6 успешно трассируются через компоненты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5. Нет классов, файлов, моделей данных и библиотек целиком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Элементы соответствуют крупным функциональным блокам C4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6. Указаны типы с технологиями «предварительно» и описания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Присутствуют FastAPI Router, Python 3.11, SQLAlchemy 2.0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360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7. Название, граница контейнера с подписью, легенда</w:t>
            </w:r>
          </w:p>
        </w:tc>
        <w:tc>
          <w:tcPr>
            <w:tcW w:type="dxa" w:w="12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388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Соблюдены все требования нотации Simon Brown</w:t>
            </w:r>
          </w:p>
        </w:tc>
        <w:tc>
          <w:tcPr>
            <w:tcW w:type="dxa" w:w="115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</w:tr>
    </w:tbl>
    <w:p>
      <w:pPr>
        <w:spacing w:before="40"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Бланк 7. Проверка прохождением Use Case и типового изменения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592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Что проверяется</w:t>
            </w:r>
          </w:p>
        </w:tc>
        <w:tc>
          <w:tcPr>
            <w:tcW w:type="dxa" w:w="489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Ответ читателей (по диаграмме)</w:t>
            </w:r>
          </w:p>
        </w:tc>
        <w:tc>
          <w:tcPr>
            <w:tcW w:type="dxa" w:w="100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Совпадает?</w:t>
            </w:r>
          </w:p>
        </w:tc>
        <w:tc>
          <w:tcPr>
            <w:tcW w:type="dxa" w:w="144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Что авторы исправили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UC5: Просмотреть рекомендации и утвердить тарифы</w:t>
            </w:r>
          </w:p>
        </w:tc>
        <w:tc>
          <w:tcPr>
            <w:tcW w:type="dxa" w:w="48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Запрос от Веб-календаря приходит в Pricing API Controller (связь 1), передается в Dynamic Pricing Engine (связь 2). Движок опрашивает Booking Manager (связь 3), Weather Client (связь 4), Calendar Service (связь 5) и читает Floor Price из Database Repository (связь 6). После утверждения управляющим Pricing API Controller отправляет команду на фиксацию, и Database Repository сохраняет тарифы в БД (связь 8).</w:t>
            </w:r>
          </w:p>
        </w:tc>
        <w:tc>
          <w:tcPr>
            <w:tcW w:type="dxa" w:w="10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Замечаний нет. Цепочка ответственности прозрачна.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Типовое изменение: переход на Яндекс.Погоду</w:t>
            </w:r>
          </w:p>
        </w:tc>
        <w:tc>
          <w:tcPr>
            <w:tcW w:type="dxa" w:w="489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Затронет ровно один компонент — Weather Client &amp; Normalizer. Компонент переключает URL и формат парсинга JSON, отдавая наружу прежний нормализованный K_weather. Dynamic Pricing Engine и база данных изменений не требуют.</w:t>
            </w:r>
          </w:p>
        </w:tc>
        <w:tc>
          <w:tcPr>
            <w:tcW w:type="dxa" w:w="100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Да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Подтверждена высокая ремонтопригодность и изоляция сторонних API.</w:t>
            </w:r>
          </w:p>
        </w:tc>
      </w:tr>
    </w:tbl>
    <w:p>
      <w:pPr>
        <w:spacing w:before="4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Белишко Кирилл Андреевич</dc:creator>
  <cp:keywords/>
  <dc:description/>
  <cp:lastModifiedBy>Белишко Кирилл Андреевич</cp:lastModifiedBy>
  <cp:revision>1</cp:revision>
  <dcterms:created xsi:type="dcterms:W3CDTF">2013-12-23T23:15:00Z</dcterms:created>
  <dcterms:modified xsi:type="dcterms:W3CDTF">2013-12-23T23:15:00Z</dcterms:modified>
  <cp:category>Учебная документация</cp:category>
</cp:coreProperties>
</file>