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D1F0" w14:textId="77777777" w:rsidR="006569EC" w:rsidRDefault="006569EC" w:rsidP="006569EC">
      <w:pPr>
        <w:pStyle w:val="a3"/>
        <w:spacing w:before="0" w:beforeAutospacing="0" w:after="480" w:afterAutospacing="0"/>
        <w:jc w:val="center"/>
      </w:pPr>
      <w:r>
        <w:rPr>
          <w:rFonts w:ascii="Trebuchet MS" w:hAnsi="Trebuchet MS"/>
          <w:b/>
          <w:bCs/>
          <w:color w:val="000000"/>
          <w:sz w:val="18"/>
          <w:szCs w:val="18"/>
        </w:rPr>
        <w:t>Требования к Эмитенту по предоставлению Эмитентом</w:t>
      </w:r>
      <w:r>
        <w:rPr>
          <w:rFonts w:ascii="Trebuchet MS" w:hAnsi="Trebuchet MS"/>
          <w:b/>
          <w:bCs/>
          <w:color w:val="000000"/>
          <w:sz w:val="18"/>
          <w:szCs w:val="18"/>
        </w:rPr>
        <w:br/>
        <w:t>документов и информации для целей поддержания листинга</w:t>
      </w:r>
    </w:p>
    <w:p w14:paraId="2DD599B0" w14:textId="3FBC31F0" w:rsidR="006569EC" w:rsidRDefault="006569EC" w:rsidP="006569EC">
      <w:pPr>
        <w:pStyle w:val="a3"/>
        <w:spacing w:before="0" w:beforeAutospacing="0" w:after="0" w:afterAutospacing="0"/>
        <w:ind w:left="284" w:hanging="284"/>
        <w:jc w:val="both"/>
      </w:pPr>
      <w:r>
        <w:rPr>
          <w:rFonts w:ascii="Trebuchet MS" w:hAnsi="Trebuchet MS"/>
          <w:color w:val="000000"/>
          <w:sz w:val="18"/>
          <w:szCs w:val="18"/>
        </w:rPr>
        <w:t xml:space="preserve">     </w:t>
      </w:r>
      <w:r>
        <w:rPr>
          <w:rFonts w:ascii="Trebuchet MS" w:hAnsi="Trebuchet MS"/>
          <w:color w:val="000000"/>
          <w:sz w:val="18"/>
          <w:szCs w:val="18"/>
        </w:rPr>
        <w:tab/>
      </w:r>
      <w:r>
        <w:rPr>
          <w:rFonts w:ascii="Trebuchet MS" w:hAnsi="Trebuchet MS"/>
          <w:color w:val="000000"/>
          <w:sz w:val="18"/>
          <w:szCs w:val="18"/>
        </w:rPr>
        <w:tab/>
      </w:r>
      <w:r>
        <w:rPr>
          <w:rFonts w:ascii="Trebuchet MS" w:hAnsi="Trebuchet MS"/>
          <w:color w:val="000000"/>
          <w:sz w:val="18"/>
          <w:szCs w:val="18"/>
        </w:rPr>
        <w:t>Эмитент, ценные бумаги которого включены в Официальный список Биржи любой категории, должен предоставлять Бирже информацию следующего характера и в нижеуказанные сроки:</w:t>
      </w:r>
    </w:p>
    <w:p w14:paraId="7675C2EF" w14:textId="77777777" w:rsidR="006569EC" w:rsidRDefault="006569EC" w:rsidP="006569EC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не позднее окончания второго месяца, следующего за отчетным годом - годовую финансовую отчетность (формы № 1, 2, 3, 4 и пояснительную записку), а не позднее дня окончания первого квартала года, следующего за отчетным годом, предоставить заключение аудитора по данной отчетности. Не позднее 30 календарных дней после даты утверждения годового отчета уполномоченным органом Эмитента - годовой отчет Эмитента;</w:t>
      </w:r>
    </w:p>
    <w:p w14:paraId="1EC44E67" w14:textId="77777777" w:rsidR="006569EC" w:rsidRDefault="006569EC" w:rsidP="006569EC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не позднее 30 числа месяца, следующего за отчетным кварталом - квартальную финансовую отчетность (формы № 1, 2, 3, 4), составленную на последнюю дату соответствующего отчетного квартала;</w:t>
      </w:r>
    </w:p>
    <w:p w14:paraId="6C007765" w14:textId="77777777" w:rsidR="006569EC" w:rsidRDefault="006569EC" w:rsidP="006569EC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ежеквартально не позднее 30-ти дней месяца, следующего за отчетным кварталом, предоставлять Бирже Листинговый проспект в соответствии с Приложением 7 к настоящим Правилам;</w:t>
      </w:r>
    </w:p>
    <w:p w14:paraId="68F13D73" w14:textId="77777777" w:rsidR="006569EC" w:rsidRDefault="006569EC" w:rsidP="006569EC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не позднее десяти рабочих дней до даты проведения общих собраний акционеров (учредителей) письменно уведомлять Биржу о проведении таких собраний, сообщая при этом повестку дня, сроки, место проведения, а также не позднее пятнадцати рабочих дней после дня проведения общего собрания акционеров (учредителей) представлять Бирже копию протокола этого собрания;</w:t>
      </w:r>
    </w:p>
    <w:p w14:paraId="09CF4404" w14:textId="77777777" w:rsidR="006569EC" w:rsidRDefault="006569EC" w:rsidP="006569EC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не позднее 3-х рабочих дней с даты принятия соответствующего решения, письменно информировать Биржу об изменении своих регистрационных данных как юридического лица (наименование, юридический/почтовый адреса, смена исполнительного органа и главного бухгалтера, государственная перерегистрация);</w:t>
      </w:r>
    </w:p>
    <w:p w14:paraId="6F70FBC2" w14:textId="77777777" w:rsidR="006569EC" w:rsidRDefault="006569EC" w:rsidP="006569EC">
      <w:pPr>
        <w:pStyle w:val="a3"/>
        <w:spacing w:before="0" w:beforeAutospacing="0" w:after="0" w:afterAutospacing="0"/>
        <w:ind w:left="284" w:hanging="284"/>
        <w:jc w:val="both"/>
      </w:pPr>
      <w:r>
        <w:rPr>
          <w:rFonts w:ascii="Trebuchet MS" w:hAnsi="Trebuchet MS"/>
          <w:color w:val="000000"/>
          <w:sz w:val="18"/>
          <w:szCs w:val="18"/>
        </w:rPr>
        <w:t>5а) не позднее 5-ти рабочих дней с даты принятия соответствующего решения, письменно уведомлять Биржу об изменениях и дополнениях в Устав Эмитента, а если Эмитент не является акционерным обществом, то в Устав, Учредительный Договор, с предоставлением копий перечисленных документов по правилам, изложенным в Приложении 4 к настоящим Правилам;</w:t>
      </w:r>
    </w:p>
    <w:p w14:paraId="5C77250E" w14:textId="77777777" w:rsidR="006569EC" w:rsidRDefault="006569EC" w:rsidP="006569EC">
      <w:pPr>
        <w:pStyle w:val="a3"/>
        <w:numPr>
          <w:ilvl w:val="0"/>
          <w:numId w:val="2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не позднее 10-ти рабочих дней до даты изменений уведомлять Биржу об изменении своего реестродержателя;</w:t>
      </w:r>
    </w:p>
    <w:p w14:paraId="61D5735C" w14:textId="77777777" w:rsidR="006569EC" w:rsidRDefault="006569EC" w:rsidP="006569EC">
      <w:pPr>
        <w:pStyle w:val="a3"/>
        <w:numPr>
          <w:ilvl w:val="0"/>
          <w:numId w:val="3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в течение 3-х дней с момента возникновения любого из нижеперечисленных событий, письменно уведомлять Биржу об этом с изложением фактов, объясняющих или проясняющих, или комментирующих такое событие:</w:t>
      </w:r>
    </w:p>
    <w:p w14:paraId="54B77221" w14:textId="77777777" w:rsidR="006569EC" w:rsidRDefault="006569EC" w:rsidP="006569EC">
      <w:pPr>
        <w:pStyle w:val="a3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принятие в отношении Эмитента решения любым государственным органом, влияющего на деятельность Эмитента в текущем периоде и на перспективу, включая требования по соблюдению Эмитентом различных норм и нормативов;</w:t>
      </w:r>
    </w:p>
    <w:p w14:paraId="1CA2306F" w14:textId="77777777" w:rsidR="006569EC" w:rsidRDefault="006569EC" w:rsidP="006569EC">
      <w:pPr>
        <w:pStyle w:val="a3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возбуждение против Эмитента или его должностных лиц разбирательств, в том числе административных и уголовных;</w:t>
      </w:r>
    </w:p>
    <w:p w14:paraId="1528E100" w14:textId="77777777" w:rsidR="006569EC" w:rsidRDefault="006569EC" w:rsidP="006569EC">
      <w:pPr>
        <w:pStyle w:val="a3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подача Эмитентом заявления в правоохранительные или судебные органы в отношении любых лиц, если имущественная оценка заявленных претензий составляет более 5% стоимости активов Эмитента на дату подачи таких заявлений;</w:t>
      </w:r>
    </w:p>
    <w:p w14:paraId="5C4C8C33" w14:textId="77777777" w:rsidR="006569EC" w:rsidRDefault="006569EC" w:rsidP="006569EC">
      <w:pPr>
        <w:pStyle w:val="a3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заключение Эмитентом крупной сделки, сумма которой составляет 10 и выше процентов балансовой стоимости активов Эмитента с раскрытием сведений о сущности сделки и наличии заинтересованности в ее совершении со стороны аффилированных лиц Эмитента;</w:t>
      </w:r>
    </w:p>
    <w:p w14:paraId="7FAB5A23" w14:textId="77777777" w:rsidR="006569EC" w:rsidRDefault="006569EC" w:rsidP="006569EC">
      <w:pPr>
        <w:pStyle w:val="a3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изменение в составе должностных лиц Эмитента, смена аудитора и об изменении в списке аффилированных лиц Эмитента;</w:t>
      </w:r>
    </w:p>
    <w:p w14:paraId="6BADFA35" w14:textId="77777777" w:rsidR="006569EC" w:rsidRDefault="006569EC" w:rsidP="006569EC">
      <w:pPr>
        <w:pStyle w:val="a3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принятие Эмитентом решений по стратегии своего развития, включая планы как расширения, так и сокращения своей деятельности;</w:t>
      </w:r>
    </w:p>
    <w:p w14:paraId="0C64A916" w14:textId="77777777" w:rsidR="006569EC" w:rsidRDefault="006569EC" w:rsidP="006569EC">
      <w:pPr>
        <w:pStyle w:val="a3"/>
        <w:numPr>
          <w:ilvl w:val="0"/>
          <w:numId w:val="5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в течение одного рабочего дня уведомлять Биржу о приостановлении регистрации операций с его ценными бумагами в реестре держателей ценных бумаг;</w:t>
      </w:r>
    </w:p>
    <w:p w14:paraId="0CB75EC7" w14:textId="77777777" w:rsidR="006569EC" w:rsidRDefault="006569EC" w:rsidP="006569EC">
      <w:pPr>
        <w:pStyle w:val="a3"/>
        <w:numPr>
          <w:ilvl w:val="0"/>
          <w:numId w:val="6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представлять Бирже не менее чем по одному экземпляру предназначенных для публичного распространения материалов рекламного и/или информационного характеров (листовок, брошюр, специальных выпусков журналов, публикаций, издаваемых в рамках связей с общественностью, и иных возможных материалов схожего назначения);</w:t>
      </w:r>
    </w:p>
    <w:p w14:paraId="71BBAB17" w14:textId="77777777" w:rsidR="006569EC" w:rsidRDefault="006569EC" w:rsidP="006569EC">
      <w:pPr>
        <w:pStyle w:val="a3"/>
        <w:numPr>
          <w:ilvl w:val="0"/>
          <w:numId w:val="7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Эмитент вправе раскрывать Бирже любую иную информацию, касающуюся его деятельности;</w:t>
      </w:r>
    </w:p>
    <w:p w14:paraId="479F9767" w14:textId="77777777" w:rsidR="006569EC" w:rsidRDefault="006569EC" w:rsidP="006569EC">
      <w:pPr>
        <w:pStyle w:val="a3"/>
        <w:numPr>
          <w:ilvl w:val="0"/>
          <w:numId w:val="8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сведения о владельцах ценных бумаг и/или иных финансовых инструментов, имеющих пакет не менее 75% от выпущенных простых акций иностранного Эмитента;</w:t>
      </w:r>
    </w:p>
    <w:p w14:paraId="5080229C" w14:textId="77777777" w:rsidR="006569EC" w:rsidRDefault="006569EC" w:rsidP="006569EC">
      <w:pPr>
        <w:pStyle w:val="a3"/>
        <w:numPr>
          <w:ilvl w:val="0"/>
          <w:numId w:val="9"/>
        </w:numPr>
        <w:spacing w:before="0" w:beforeAutospacing="0" w:after="240" w:afterAutospacing="0"/>
        <w:ind w:left="284" w:hanging="284"/>
        <w:jc w:val="both"/>
        <w:textAlignment w:val="baselin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сведения о владельцах ценных бумаг и/или иных финансовых инструментов, имеющих пакет не менее 75% от выпущенных облигаций иностранного Эмитента.</w:t>
      </w:r>
    </w:p>
    <w:p w14:paraId="5EBC8C7E" w14:textId="77777777" w:rsidR="006569EC" w:rsidRDefault="006569EC" w:rsidP="006569EC">
      <w:pPr>
        <w:pStyle w:val="a3"/>
        <w:spacing w:before="0" w:beforeAutospacing="0" w:after="0" w:afterAutospacing="0"/>
        <w:ind w:left="284" w:hanging="284"/>
        <w:jc w:val="both"/>
      </w:pPr>
      <w:r>
        <w:rPr>
          <w:rFonts w:ascii="Trebuchet MS" w:hAnsi="Trebuchet MS"/>
          <w:color w:val="000000"/>
          <w:sz w:val="18"/>
          <w:szCs w:val="18"/>
        </w:rPr>
        <w:t>Документы, предусмотренные пунктами 1, 2, 3, передаются Бирже в виде оригиналов либо копий, заверенные печатью Эмитента.</w:t>
      </w:r>
    </w:p>
    <w:p w14:paraId="5E17DAB0" w14:textId="20906E1E" w:rsidR="00FF4320" w:rsidRDefault="006569EC" w:rsidP="006569EC">
      <w:pPr>
        <w:pStyle w:val="a3"/>
        <w:spacing w:before="0" w:beforeAutospacing="0" w:after="0" w:afterAutospacing="0"/>
        <w:ind w:left="284" w:hanging="284"/>
        <w:jc w:val="both"/>
      </w:pPr>
      <w:r>
        <w:rPr>
          <w:rFonts w:ascii="Trebuchet MS" w:hAnsi="Trebuchet MS"/>
          <w:color w:val="000000"/>
          <w:sz w:val="18"/>
          <w:szCs w:val="18"/>
        </w:rPr>
        <w:t>Сведения, предусмотренные пунктами 4, 5, 6, 7, 8, 11, 12 предоставляются Бирже в письменном виде в форме официального письма с печатью и подписью уполномоченных лиц.</w:t>
      </w:r>
    </w:p>
    <w:sectPr w:rsidR="00FF4320" w:rsidSect="006569EC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DEE71" w14:textId="77777777" w:rsidR="007840E8" w:rsidRDefault="007840E8" w:rsidP="006569EC">
      <w:pPr>
        <w:spacing w:after="0" w:line="240" w:lineRule="auto"/>
      </w:pPr>
      <w:r>
        <w:separator/>
      </w:r>
    </w:p>
  </w:endnote>
  <w:endnote w:type="continuationSeparator" w:id="0">
    <w:p w14:paraId="11CB0759" w14:textId="77777777" w:rsidR="007840E8" w:rsidRDefault="007840E8" w:rsidP="0065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25BD5" w14:textId="77777777" w:rsidR="007840E8" w:rsidRDefault="007840E8" w:rsidP="006569EC">
      <w:pPr>
        <w:spacing w:after="0" w:line="240" w:lineRule="auto"/>
      </w:pPr>
      <w:r>
        <w:separator/>
      </w:r>
    </w:p>
  </w:footnote>
  <w:footnote w:type="continuationSeparator" w:id="0">
    <w:p w14:paraId="267C85A8" w14:textId="77777777" w:rsidR="007840E8" w:rsidRDefault="007840E8" w:rsidP="00656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0F5F0" w14:textId="77777777" w:rsidR="006569EC" w:rsidRDefault="006569EC" w:rsidP="006569EC">
    <w:pPr>
      <w:pStyle w:val="a3"/>
      <w:spacing w:before="0" w:beforeAutospacing="0" w:after="0" w:afterAutospacing="0"/>
      <w:jc w:val="right"/>
    </w:pPr>
    <w:r>
      <w:rPr>
        <w:rFonts w:ascii="Trebuchet MS" w:hAnsi="Trebuchet MS"/>
        <w:color w:val="002060"/>
        <w:sz w:val="18"/>
        <w:szCs w:val="18"/>
      </w:rPr>
      <w:t>Приложение 6</w:t>
    </w:r>
  </w:p>
  <w:p w14:paraId="5477F7B7" w14:textId="77777777" w:rsidR="006569EC" w:rsidRDefault="006569EC" w:rsidP="006569EC">
    <w:pPr>
      <w:pStyle w:val="a3"/>
      <w:spacing w:before="0" w:beforeAutospacing="0" w:after="0" w:afterAutospacing="0"/>
      <w:jc w:val="right"/>
    </w:pPr>
    <w:r>
      <w:rPr>
        <w:rFonts w:ascii="Trebuchet MS" w:hAnsi="Trebuchet MS"/>
        <w:color w:val="002060"/>
        <w:sz w:val="18"/>
        <w:szCs w:val="18"/>
      </w:rPr>
      <w:t>к Правилам листинга ценных бумаг</w:t>
    </w:r>
  </w:p>
  <w:p w14:paraId="19670751" w14:textId="77777777" w:rsidR="006569EC" w:rsidRDefault="006569EC" w:rsidP="006569EC">
    <w:pPr>
      <w:pStyle w:val="a3"/>
      <w:spacing w:before="0" w:beforeAutospacing="0" w:after="480" w:afterAutospacing="0"/>
      <w:jc w:val="right"/>
    </w:pPr>
    <w:r>
      <w:rPr>
        <w:rFonts w:ascii="Trebuchet MS" w:hAnsi="Trebuchet MS"/>
        <w:color w:val="002060"/>
        <w:sz w:val="18"/>
        <w:szCs w:val="18"/>
      </w:rPr>
      <w:t>ОАО «Енвойс Вижион Диджитал Эксчейндж</w:t>
    </w:r>
  </w:p>
  <w:p w14:paraId="7EAFD3D7" w14:textId="77777777" w:rsidR="006569EC" w:rsidRDefault="006569E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34DC7"/>
    <w:multiLevelType w:val="multilevel"/>
    <w:tmpl w:val="3468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0436"/>
    <w:multiLevelType w:val="multilevel"/>
    <w:tmpl w:val="8DFC9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C2D2D"/>
    <w:multiLevelType w:val="multilevel"/>
    <w:tmpl w:val="9CAC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B5CAE"/>
    <w:multiLevelType w:val="multilevel"/>
    <w:tmpl w:val="93B2A7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8"/>
    <w:rsid w:val="002C70D8"/>
    <w:rsid w:val="006569EC"/>
    <w:rsid w:val="007840E8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991F"/>
  <w15:chartTrackingRefBased/>
  <w15:docId w15:val="{6E2C5B93-9434-4F6D-B554-87C43431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5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9EC"/>
  </w:style>
  <w:style w:type="paragraph" w:styleId="a6">
    <w:name w:val="footer"/>
    <w:basedOn w:val="a"/>
    <w:link w:val="a7"/>
    <w:uiPriority w:val="99"/>
    <w:unhideWhenUsed/>
    <w:rsid w:val="0065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Ниджат Ахмуллаев</dc:creator>
  <cp:keywords/>
  <dc:description/>
  <cp:lastModifiedBy>Ниджат Ахмуллаев</cp:lastModifiedBy>
  <cp:revision>3</cp:revision>
  <dcterms:created xsi:type="dcterms:W3CDTF">2022-03-15T11:13:00Z</dcterms:created>
  <dcterms:modified xsi:type="dcterms:W3CDTF">2022-03-15T11:15:00Z</dcterms:modified>
</cp:coreProperties>
</file>