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center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Инструкция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center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о порядке осуществления взаиморасчетов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center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по операциям с корпоративными ценными бумагами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center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ОАО «Енвойс Вижион Диджитал Эксчейндж»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center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г. Бишкек</w:t>
        <w:tab/>
        <w:tab/>
        <w:tab/>
        <w:tab/>
        <w:tab/>
        <w:tab/>
        <w:tab/>
        <w:tab/>
        <w:tab/>
        <w:t xml:space="preserve">        «___»_____2021 г.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1. Общие положения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1.1. Настоящая Инструкция определяет порядок осуществления взаиморасчетов по операциям с ЦБ, совершаемым через лицензированного организатора торгов на рынке ценных бумаг КР (далее «организатор торгов») и составлена на основании Правил ведения депозитарно-клиринговых операций департамент по депозитарно-клиринговым операциям с соблюдением норм действующего законодательства КР.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1.2. Взаиморасчеты по сделкам, заключенным через организатора торговли на рынке ценных бумаг осуществляются отдельно по каждой сделке.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1.3. Департамент по депозитарно-клиринговым операциям открывает в расчетном банке ЕВДЭ специальный субсчет каждому авторизованному депоненту, через который производятся расчеты по сделкам, заключенным на торговой площадке организатора торгов.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1.4. Во внутренней системе депозитарного учета каждому авторизованному депоненту открываются счета депо в соответствии с Правилами депозитарно-клиринговых операций ЕВДЭ, на которые зачисляются или списываются денежные средства (далее ДС), в соответствии с поступлением или снятием ДС на/с специальный субсчет в Расчетном банке ЕВДЭ и проведенными операциями с ЦБ. 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2. Порядок внесения ДС, предназначенных для расчетов по сделкам с ЦБ.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2.1. ДС вносятся депонентом (или его клиентом) наличными или перечислением на специальный субсчет в Расчетном банке ЕВДЭ в соответствии с регламентом расчетно-кассового обслуживания расчетного банка ЕВДЭ.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2.2. При внесении ДС депонент (или его клиент) в обязательном порядке должен указать принадлежность ДС (собственные ДС депонента, ДС клиента депонента, ДС для первичного размещения ЦБ, с указанием ЦБ). В случае если ДС вносятся клиентом депонента, необходимо обязательно указать для какого депонента предназначаются ДС.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3. Порядок зачисления ДС на депо-счета депонентов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3.1. Департамент по депозитарно-клиринговым операциям ЕВДЭ ежедневно производит сверку наличия ДС на специальных субсчетах ЕВДЭ в расчетном банке и на депо-счетах депонентов.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3.2. При поступлении ДС на специальный субсчет в Расчетном банке департамент по депозитарно-клиринговым операциям производит соответствующее зачисление ДС на депо-счета депонентов.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4. Процедура расчетов.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4.1. Департамент по депозитарно-клиринговым операциям ЕВДЭ получает от организатора торговли информацию о сделках, заключенных в его торговой системе в формате и в сроки, установленные внутренними документами ОАО «ЕВДЭ».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4.2. Департамент по депозитарно-клиринговым операциям ЕВДЭ в сроки, установленными внутренними документами с организатором торговли, производит взаиморасчеты по сделкам, информация о которых передана в департамент по депозитарно-клиринговым операциям ЕВДЭ, согласно п.4.1. настоящей Инструкции. 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 Взаиморасчеты производятся в следующем порядке: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4.2.1. Департамент по депозитарно-клиринговым операциям проверяет наличие ценных бумаг на счете депо продавца. В случае недостаточного количества ценных бумаг на счете депо продавца, департамент по депозитарно-клиринговым операциям направляет организатору торгов уведомление об отказе исполнения взаиморасчетов;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4.2.2. При достаточном количестве ценных бумаг на счете депо продавца, департамент по депозитарно-клиринговым операциям блокирует это количество ценных бумаг и проверяет наличие денежных средств на счете депо покупателя. В случае недостаточного количества денежных средств на счете депо покупателя, департамент по депозитарно-клиринговым операциям направляет организатору торгов уведомление об отказе исполнения взаиморасчетов и производит разблокирование этих ценных бумаг;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4.2.3. В случае достаточного объема ЦБ на депо-счете продавца и объема ДС на депо-счете покупателя, департамент по депозитарно-клиринговым операциям производит поставку ЦБ и ДС согласно условиям заключенной сделки, а также сообщает об исполнении сделки организатору торгов.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Председатель правления</w:t>
        <w:tab/>
        <w:tab/>
        <w:tab/>
        <w:tab/>
        <w:tab/>
        <w:t xml:space="preserve">_____________________Шабданов А.С.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 </w:t>
        <w:tab/>
        <w:t xml:space="preserve">          М.П.</w:t>
        <w:tab/>
      </w:r>
      <w:r w:rsidDel="00000000" w:rsidR="00000000" w:rsidRPr="00000000">
        <w:rPr>
          <w:rtl w:val="0"/>
        </w:rPr>
      </w:r>
    </w:p>
    <w:sectPr>
      <w:headerReference r:id="rId7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tabs>
        <w:tab w:val="center" w:pos="4677"/>
        <w:tab w:val="right" w:pos="9355"/>
      </w:tabs>
      <w:spacing w:after="0" w:line="240" w:lineRule="auto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Утверждено решением совета директоров №1/1 </w:t>
    </w:r>
  </w:p>
  <w:p w:rsidR="00000000" w:rsidDel="00000000" w:rsidP="00000000" w:rsidRDefault="00000000" w:rsidRPr="00000000" w14:paraId="00000022">
    <w:pPr>
      <w:tabs>
        <w:tab w:val="center" w:pos="4677"/>
        <w:tab w:val="right" w:pos="9355"/>
      </w:tabs>
      <w:spacing w:after="0" w:line="240" w:lineRule="auto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ОАО «Енвойс Вижион Диджитал Эксчейндж»</w:t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662EF"/>
    <w:rPr>
      <w:lang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5662EF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5662EF"/>
    <w:rPr>
      <w:lang w:val="ru-RU"/>
    </w:rPr>
  </w:style>
  <w:style w:type="paragraph" w:styleId="a5">
    <w:name w:val="footer"/>
    <w:basedOn w:val="a"/>
    <w:link w:val="a6"/>
    <w:uiPriority w:val="99"/>
    <w:unhideWhenUsed w:val="1"/>
    <w:rsid w:val="005662EF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5662EF"/>
    <w:rPr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HQ3ONtGMQrwOoBkqF+5+FpB4/g==">AMUW2mWdIuP2sgeaywCAyj3NLQ5Sf/IwJ7YSSP0lR8BFGKHcS+Ca4yOxI0aSA1kcfGujMJem+VlqjYIGTF958n1nIlx48f3OknMp5tSYrg+GlyXWSc7q+jo=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2021-12-14T14:54:00Z</dcterms:created>
  <dc:creator>Ниджат Ахмуллаев</dc:creator>
</cp:coreProperties>
</file>