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60"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rtl w:val="0"/>
        </w:rPr>
        <w:t xml:space="preserve">Положение о раскрытии информации</w:t>
      </w:r>
    </w:p>
    <w:p w:rsidR="00000000" w:rsidDel="00000000" w:rsidP="00000000" w:rsidRDefault="00000000" w:rsidRPr="00000000" w14:paraId="00000002">
      <w:pPr>
        <w:shd w:fill="ffffff" w:val="clear"/>
        <w:spacing w:after="60"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rtl w:val="0"/>
        </w:rPr>
        <w:t xml:space="preserve">ОАО «Енвойс Вижион Диджитал Эксчейндж»</w:t>
      </w:r>
    </w:p>
    <w:p w:rsidR="00000000" w:rsidDel="00000000" w:rsidP="00000000" w:rsidRDefault="00000000" w:rsidRPr="00000000" w14:paraId="00000003">
      <w:pPr>
        <w:shd w:fill="ffffff" w:val="clear"/>
        <w:spacing w:after="60"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rtl w:val="0"/>
        </w:rPr>
        <w:t xml:space="preserve">г. Бишкек</w:t>
        <w:tab/>
        <w:tab/>
        <w:tab/>
        <w:tab/>
        <w:tab/>
        <w:tab/>
        <w:tab/>
        <w:tab/>
        <w:t xml:space="preserve">   «__»_________2021 г.</w:t>
      </w:r>
    </w:p>
    <w:p w:rsidR="00000000" w:rsidDel="00000000" w:rsidP="00000000" w:rsidRDefault="00000000" w:rsidRPr="00000000" w14:paraId="00000005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 Фондовые биржи представляют отчетность в уполномоченный государственный орган согласно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приложению 5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 к настоящему Положению.</w:t>
      </w:r>
    </w:p>
    <w:p w:rsidR="00000000" w:rsidDel="00000000" w:rsidP="00000000" w:rsidRDefault="00000000" w:rsidRPr="00000000" w14:paraId="00000007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Фондовая биржа обязана представлять ежемесячную отчетность, включающую:</w:t>
      </w:r>
    </w:p>
    <w:p w:rsidR="00000000" w:rsidDel="00000000" w:rsidP="00000000" w:rsidRDefault="00000000" w:rsidRPr="00000000" w14:paraId="00000008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- перечень ценных бумаг, включенных в листинг фондовой биржи, по форме 2 согласно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приложению 5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 к настоящему Положению;</w:t>
      </w:r>
    </w:p>
    <w:p w:rsidR="00000000" w:rsidDel="00000000" w:rsidP="00000000" w:rsidRDefault="00000000" w:rsidRPr="00000000" w14:paraId="00000009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- перечень ценных бумаг, исключенных из листинга фондовой биржи, по форме 3 согласно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приложению 5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 к настоящему Положению;</w:t>
      </w:r>
    </w:p>
    <w:p w:rsidR="00000000" w:rsidDel="00000000" w:rsidP="00000000" w:rsidRDefault="00000000" w:rsidRPr="00000000" w14:paraId="0000000A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- реестр участников торгов и уполномоченных трейдеров по форме 4 согласно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приложению 5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 к настоящему Положению;</w:t>
      </w:r>
    </w:p>
    <w:p w:rsidR="00000000" w:rsidDel="00000000" w:rsidP="00000000" w:rsidRDefault="00000000" w:rsidRPr="00000000" w14:paraId="0000000B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- сведения о 5 участниках торгов, имеющих наибольшую сумму совершенных сделок в сомах с ценными бумагами, допущенными к обращению через торговую систему фондовой биржи, по форме 5 согласно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приложению 5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 к настоящему Положению;</w:t>
      </w:r>
    </w:p>
    <w:p w:rsidR="00000000" w:rsidDel="00000000" w:rsidP="00000000" w:rsidRDefault="00000000" w:rsidRPr="00000000" w14:paraId="0000000C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- общий объем и количество сделок совершенных в торговой системе фондовой биржи, с указанием объема и количества сделок по первичному и вторичному рынкам за отчетный месяц по форме 6 согласно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приложению 5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 к настоящему Положению;</w:t>
      </w:r>
    </w:p>
    <w:p w:rsidR="00000000" w:rsidDel="00000000" w:rsidP="00000000" w:rsidRDefault="00000000" w:rsidRPr="00000000" w14:paraId="0000000D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- сводную информацию об итогах торгов за месяц (календарный), по формам 7-10 согласно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приложения 5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 к настоящему Положению;</w:t>
      </w:r>
    </w:p>
    <w:p w:rsidR="00000000" w:rsidDel="00000000" w:rsidP="00000000" w:rsidRDefault="00000000" w:rsidRPr="00000000" w14:paraId="0000000E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Фондовая биржа обязана представлять в уполномоченный государственный орган ежеквартальную отчетность, включающую:</w:t>
      </w:r>
    </w:p>
    <w:p w:rsidR="00000000" w:rsidDel="00000000" w:rsidP="00000000" w:rsidRDefault="00000000" w:rsidRPr="00000000" w14:paraId="0000000F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- краткий обзор событий и действий фондовой биржи, который должен содержать сведения о существенных событиях фондовой биржи, итогах работы фондовой биржи за истекший квартал, перспективах и тенденциях деятельности фондовой биржи и иную информацию, о которой фондовые биржи считают необходимым проинформировать уполномоченный государственный орган. Обзор представляется в уполномоченный государственный орган ежеквартально;</w:t>
      </w:r>
    </w:p>
    <w:p w:rsidR="00000000" w:rsidDel="00000000" w:rsidP="00000000" w:rsidRDefault="00000000" w:rsidRPr="00000000" w14:paraId="00000010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- общие сведения об акционерах и участниках торгов фондовой биржи по форме 1 согласно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приложению 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 к настоящему Положению;</w:t>
      </w:r>
    </w:p>
    <w:p w:rsidR="00000000" w:rsidDel="00000000" w:rsidP="00000000" w:rsidRDefault="00000000" w:rsidRPr="00000000" w14:paraId="00000011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- копию приказа (распоряжения) об учетной политике организации;</w:t>
      </w:r>
    </w:p>
    <w:p w:rsidR="00000000" w:rsidDel="00000000" w:rsidP="00000000" w:rsidRDefault="00000000" w:rsidRPr="00000000" w14:paraId="00000012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- расчет нормативов достаточности собственных средств по форме 12 согласно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приложению 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 к настоящему Положению.</w:t>
      </w:r>
    </w:p>
    <w:p w:rsidR="00000000" w:rsidDel="00000000" w:rsidP="00000000" w:rsidRDefault="00000000" w:rsidRPr="00000000" w14:paraId="00000013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29. Фондовая биржа обязана представлять в уполномоченный государственный орган оперативную отчетность, включающую сведения о случаях:</w:t>
      </w:r>
    </w:p>
    <w:p w:rsidR="00000000" w:rsidDel="00000000" w:rsidP="00000000" w:rsidRDefault="00000000" w:rsidRPr="00000000" w14:paraId="00000014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- выявления нарушений участником торговли законодательства Кыргызской Республики о ценных бумагах, а также правил и внутренних операционных процедур фондовой биржи (далее - нарушения участника торгов). В сведениях обо всех выявленных нарушениях участника торгов должны быть изложены факты и обстоятельства нарушения с обязательным приложением материалов, касающихся выявленного нарушения. Указанные сведения, заверенные подписью уполномоченного лица фондовой биржи, должны быть направлены в уполномоченный государственный орган по факсимильной связи и (или) нарочным либо через систему электронной отчетности в течение одного рабочего дня после обнаружения факта нарушения;</w:t>
      </w:r>
    </w:p>
    <w:p w:rsidR="00000000" w:rsidDel="00000000" w:rsidP="00000000" w:rsidRDefault="00000000" w:rsidRPr="00000000" w14:paraId="00000015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- о сбоях в торговой системе фондовой биржи. Сведения о сбоях в торговой системе фондовой биржи, заверенные подписью уполномоченного лица фондовой биржи, должны быть направлены в уполномоченный государственный орган по факсимильной связи и (или) нарочным либо через систему электронной отчетности в течение 6 часов после факта сбоя.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00" w:before="20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rtl w:val="0"/>
        </w:rPr>
        <w:t xml:space="preserve">Перечень</w:t>
        <w:br w:type="textWrapping"/>
        <w:t xml:space="preserve">ценных бумаг, включенных в листинг фондовой биржи</w:t>
      </w:r>
      <w:r w:rsidDel="00000000" w:rsidR="00000000" w:rsidRPr="00000000">
        <w:rPr>
          <w:rtl w:val="0"/>
        </w:rPr>
      </w:r>
    </w:p>
    <w:tbl>
      <w:tblPr>
        <w:tblStyle w:val="Table1"/>
        <w:tblW w:w="9334.999999999998" w:type="dxa"/>
        <w:jc w:val="left"/>
        <w:tblInd w:w="0.0" w:type="dxa"/>
        <w:tblLayout w:type="fixed"/>
        <w:tblLook w:val="0400"/>
      </w:tblPr>
      <w:tblGrid>
        <w:gridCol w:w="343"/>
        <w:gridCol w:w="1067"/>
        <w:gridCol w:w="825"/>
        <w:gridCol w:w="629"/>
        <w:gridCol w:w="1184"/>
        <w:gridCol w:w="1184"/>
        <w:gridCol w:w="1208"/>
        <w:gridCol w:w="870"/>
        <w:gridCol w:w="1278"/>
        <w:gridCol w:w="747"/>
        <w:tblGridChange w:id="0">
          <w:tblGrid>
            <w:gridCol w:w="343"/>
            <w:gridCol w:w="1067"/>
            <w:gridCol w:w="825"/>
            <w:gridCol w:w="629"/>
            <w:gridCol w:w="1184"/>
            <w:gridCol w:w="1184"/>
            <w:gridCol w:w="1208"/>
            <w:gridCol w:w="870"/>
            <w:gridCol w:w="1278"/>
            <w:gridCol w:w="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Наименование эмитента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Категория (уровень) листинга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Вид ценной бумаги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Номер государственной регистрации ценной бумаги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Дата государственной регистрации ценной бумаги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Наименование органа, осуществившего государственную регистрацию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Дата включения в листинг фондовой биржи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Сокращенное наименование/код ценной бумаги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Номинал ценной бумаги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4">
      <w:pPr>
        <w:shd w:fill="ffffff" w:val="clear"/>
        <w:spacing w:after="240" w:before="240" w:line="240" w:lineRule="auto"/>
        <w:ind w:firstLine="567"/>
        <w:jc w:val="right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Форма 3</w:t>
      </w:r>
    </w:p>
    <w:p w:rsidR="00000000" w:rsidDel="00000000" w:rsidP="00000000" w:rsidRDefault="00000000" w:rsidRPr="00000000" w14:paraId="00000035">
      <w:pPr>
        <w:shd w:fill="ffffff" w:val="clear"/>
        <w:spacing w:after="200" w:before="20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rtl w:val="0"/>
        </w:rPr>
        <w:t xml:space="preserve">Перечень</w:t>
        <w:br w:type="textWrapping"/>
        <w:t xml:space="preserve">ценных бумаг, исключенных из листинга фондовой биржи</w:t>
      </w:r>
      <w:r w:rsidDel="00000000" w:rsidR="00000000" w:rsidRPr="00000000">
        <w:rPr>
          <w:rtl w:val="0"/>
        </w:rPr>
      </w:r>
    </w:p>
    <w:tbl>
      <w:tblPr>
        <w:tblStyle w:val="Table2"/>
        <w:tblW w:w="9334.999999999998" w:type="dxa"/>
        <w:jc w:val="left"/>
        <w:tblInd w:w="0.0" w:type="dxa"/>
        <w:tblLayout w:type="fixed"/>
        <w:tblLook w:val="0400"/>
      </w:tblPr>
      <w:tblGrid>
        <w:gridCol w:w="350"/>
        <w:gridCol w:w="648"/>
        <w:gridCol w:w="1227"/>
        <w:gridCol w:w="1227"/>
        <w:gridCol w:w="1252"/>
        <w:gridCol w:w="900"/>
        <w:gridCol w:w="1034"/>
        <w:gridCol w:w="963"/>
        <w:gridCol w:w="771"/>
        <w:gridCol w:w="963"/>
        <w:tblGridChange w:id="0">
          <w:tblGrid>
            <w:gridCol w:w="350"/>
            <w:gridCol w:w="648"/>
            <w:gridCol w:w="1227"/>
            <w:gridCol w:w="1227"/>
            <w:gridCol w:w="1252"/>
            <w:gridCol w:w="900"/>
            <w:gridCol w:w="1034"/>
            <w:gridCol w:w="963"/>
            <w:gridCol w:w="771"/>
            <w:gridCol w:w="9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Вид ценной бумаги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Номер государственной регистрации ценных бумаг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Дата государственной регистрации ценных бумаг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Наименование органа, осуществившего государственную регистрацию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Дата включения в листинг фондовой биржи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Категория (уровень) листинга исключенной ценной бумаги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Дата исключения из листинга фондовой биржи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Номинал ценной бумаги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Причины исключения из листинга фондовой биржи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A">
      <w:pPr>
        <w:shd w:fill="ffffff" w:val="clear"/>
        <w:spacing w:after="240" w:before="240" w:line="240" w:lineRule="auto"/>
        <w:ind w:firstLine="567"/>
        <w:jc w:val="right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Форма 4</w:t>
      </w:r>
    </w:p>
    <w:p w:rsidR="00000000" w:rsidDel="00000000" w:rsidP="00000000" w:rsidRDefault="00000000" w:rsidRPr="00000000" w14:paraId="0000004B">
      <w:pPr>
        <w:shd w:fill="ffffff" w:val="clear"/>
        <w:spacing w:after="200" w:before="20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rtl w:val="0"/>
        </w:rPr>
        <w:t xml:space="preserve">Реестр</w:t>
        <w:br w:type="textWrapping"/>
        <w:t xml:space="preserve">участников торгов и уполномоченных трейдеров</w:t>
      </w:r>
      <w:r w:rsidDel="00000000" w:rsidR="00000000" w:rsidRPr="00000000">
        <w:rPr>
          <w:rtl w:val="0"/>
        </w:rPr>
      </w:r>
    </w:p>
    <w:tbl>
      <w:tblPr>
        <w:tblStyle w:val="Table3"/>
        <w:tblW w:w="9335.0" w:type="dxa"/>
        <w:jc w:val="left"/>
        <w:tblInd w:w="0.0" w:type="dxa"/>
        <w:tblLayout w:type="fixed"/>
        <w:tblLook w:val="0400"/>
      </w:tblPr>
      <w:tblGrid>
        <w:gridCol w:w="291"/>
        <w:gridCol w:w="698"/>
        <w:gridCol w:w="700"/>
        <w:gridCol w:w="522"/>
        <w:gridCol w:w="799"/>
        <w:gridCol w:w="566"/>
        <w:gridCol w:w="534"/>
        <w:gridCol w:w="576"/>
        <w:gridCol w:w="534"/>
        <w:gridCol w:w="290"/>
        <w:gridCol w:w="809"/>
        <w:gridCol w:w="909"/>
        <w:gridCol w:w="719"/>
        <w:gridCol w:w="566"/>
        <w:gridCol w:w="822"/>
        <w:tblGridChange w:id="0">
          <w:tblGrid>
            <w:gridCol w:w="291"/>
            <w:gridCol w:w="698"/>
            <w:gridCol w:w="700"/>
            <w:gridCol w:w="522"/>
            <w:gridCol w:w="799"/>
            <w:gridCol w:w="566"/>
            <w:gridCol w:w="534"/>
            <w:gridCol w:w="576"/>
            <w:gridCol w:w="534"/>
            <w:gridCol w:w="290"/>
            <w:gridCol w:w="809"/>
            <w:gridCol w:w="909"/>
            <w:gridCol w:w="719"/>
            <w:gridCol w:w="566"/>
            <w:gridCol w:w="822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Полное наименование участника торгов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Юридический адрес участника торгов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Телефон, факс, 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ФИО руководителя исполнительного органа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ИНН участника торгов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Сведения о лицензии участника торгов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Сведения об уполномоченных трейдерах участника торгов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Дата допуска участника к торгам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Информация о принятых фондовой биржей дисциплинарных мерах по приостановлению участия участника торгов в торгах или об исключении из состава участников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№ лицензии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Орган, выдавший лицензию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Дата выдачи, № лицензии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ФИО уполномоченного трейдера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Дата и № выдачи квалификационного свидетельства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Присвоенная квалификация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79">
      <w:pPr>
        <w:shd w:fill="ffffff" w:val="clear"/>
        <w:spacing w:after="240" w:before="240" w:line="240" w:lineRule="auto"/>
        <w:ind w:firstLine="567"/>
        <w:jc w:val="right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Форма 5</w:t>
      </w:r>
    </w:p>
    <w:p w:rsidR="00000000" w:rsidDel="00000000" w:rsidP="00000000" w:rsidRDefault="00000000" w:rsidRPr="00000000" w14:paraId="0000007A">
      <w:pPr>
        <w:shd w:fill="ffffff" w:val="clear"/>
        <w:spacing w:after="200" w:before="20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00" w:before="20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00" w:before="20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rtl w:val="0"/>
        </w:rPr>
        <w:t xml:space="preserve">Сведения</w:t>
        <w:br w:type="textWrapping"/>
        <w:t xml:space="preserve">о 5 участниках торгов, имеющих наибольшую сумму совершенных сделок в сомах с ценными бумагами, допущенными к обращению через торговую систему фондовой биржи (данные представляются по каждому рабочему дню недели) за период с "___" ______________________ 20__ г.</w:t>
      </w:r>
      <w:r w:rsidDel="00000000" w:rsidR="00000000" w:rsidRPr="00000000">
        <w:rPr>
          <w:rtl w:val="0"/>
        </w:rPr>
      </w:r>
    </w:p>
    <w:tbl>
      <w:tblPr>
        <w:tblStyle w:val="Table4"/>
        <w:tblW w:w="9335.0" w:type="dxa"/>
        <w:jc w:val="left"/>
        <w:tblInd w:w="0.0" w:type="dxa"/>
        <w:tblLayout w:type="fixed"/>
        <w:tblLook w:val="0400"/>
      </w:tblPr>
      <w:tblGrid>
        <w:gridCol w:w="417"/>
        <w:gridCol w:w="1720"/>
        <w:gridCol w:w="1514"/>
        <w:gridCol w:w="1190"/>
        <w:gridCol w:w="1286"/>
        <w:gridCol w:w="1310"/>
        <w:gridCol w:w="1205"/>
        <w:gridCol w:w="693"/>
        <w:tblGridChange w:id="0">
          <w:tblGrid>
            <w:gridCol w:w="417"/>
            <w:gridCol w:w="1720"/>
            <w:gridCol w:w="1514"/>
            <w:gridCol w:w="1190"/>
            <w:gridCol w:w="1286"/>
            <w:gridCol w:w="1310"/>
            <w:gridCol w:w="1205"/>
            <w:gridCol w:w="69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Число/месяц/год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Полное наименование участника торгов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Всего совершено сделок через торговую систему фондовой биржи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Количество ценных бумаг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Общая сумма сделок (сом.)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размещение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обращение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всего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95">
      <w:pPr>
        <w:shd w:fill="ffffff" w:val="clear"/>
        <w:spacing w:after="240" w:before="240" w:line="240" w:lineRule="auto"/>
        <w:ind w:firstLine="567"/>
        <w:jc w:val="right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Форма 6</w:t>
      </w:r>
    </w:p>
    <w:p w:rsidR="00000000" w:rsidDel="00000000" w:rsidP="00000000" w:rsidRDefault="00000000" w:rsidRPr="00000000" w14:paraId="00000096">
      <w:pPr>
        <w:shd w:fill="ffffff" w:val="clear"/>
        <w:spacing w:after="200" w:before="20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rtl w:val="0"/>
        </w:rPr>
        <w:t xml:space="preserve">Отчет</w:t>
        <w:br w:type="textWrapping"/>
        <w:t xml:space="preserve">о сделках</w:t>
      </w:r>
      <w:r w:rsidDel="00000000" w:rsidR="00000000" w:rsidRPr="00000000">
        <w:rPr>
          <w:rtl w:val="0"/>
        </w:rPr>
      </w:r>
    </w:p>
    <w:tbl>
      <w:tblPr>
        <w:tblStyle w:val="Table5"/>
        <w:tblW w:w="9335.0" w:type="dxa"/>
        <w:jc w:val="left"/>
        <w:tblInd w:w="0.0" w:type="dxa"/>
        <w:tblLayout w:type="fixed"/>
        <w:tblLook w:val="0400"/>
      </w:tblPr>
      <w:tblGrid>
        <w:gridCol w:w="463"/>
        <w:gridCol w:w="595"/>
        <w:gridCol w:w="1006"/>
        <w:gridCol w:w="516"/>
        <w:gridCol w:w="743"/>
        <w:gridCol w:w="641"/>
        <w:gridCol w:w="717"/>
        <w:gridCol w:w="715"/>
        <w:gridCol w:w="717"/>
        <w:gridCol w:w="715"/>
        <w:gridCol w:w="717"/>
        <w:gridCol w:w="715"/>
        <w:gridCol w:w="1075"/>
        <w:tblGridChange w:id="0">
          <w:tblGrid>
            <w:gridCol w:w="463"/>
            <w:gridCol w:w="595"/>
            <w:gridCol w:w="1006"/>
            <w:gridCol w:w="516"/>
            <w:gridCol w:w="743"/>
            <w:gridCol w:w="641"/>
            <w:gridCol w:w="717"/>
            <w:gridCol w:w="715"/>
            <w:gridCol w:w="717"/>
            <w:gridCol w:w="715"/>
            <w:gridCol w:w="717"/>
            <w:gridCol w:w="715"/>
            <w:gridCol w:w="107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Эмитент ценных бумаг и вид ценных бумаг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Государственный регистрационный номер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Номер сделки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Покупатель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Продавец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Количество ценных бумаг (шт.)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Цена за 1 ценную бумагу (сом.)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Объем сделки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Нелистинг/листинг (категория/уровень листинга)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первичный рынок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вторичный рынок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первичный рынок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вторичный рынок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первичный рынок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вторичный рынок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D8">
      <w:pPr>
        <w:shd w:fill="ffffff" w:val="clear"/>
        <w:spacing w:after="240" w:before="240" w:line="240" w:lineRule="auto"/>
        <w:ind w:firstLine="567"/>
        <w:jc w:val="right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Форма 7</w:t>
      </w:r>
    </w:p>
    <w:p w:rsidR="00000000" w:rsidDel="00000000" w:rsidP="00000000" w:rsidRDefault="00000000" w:rsidRPr="00000000" w14:paraId="000000D9">
      <w:pPr>
        <w:shd w:fill="ffffff" w:val="clear"/>
        <w:spacing w:after="200" w:before="20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rtl w:val="0"/>
        </w:rPr>
        <w:t xml:space="preserve">Отчет</w:t>
        <w:br w:type="textWrapping"/>
        <w:t xml:space="preserve">о сделках по брокерским и дилерским фирмам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6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Брокерская фирма</w:t>
      </w:r>
    </w:p>
    <w:p w:rsidR="00000000" w:rsidDel="00000000" w:rsidP="00000000" w:rsidRDefault="00000000" w:rsidRPr="00000000" w14:paraId="000000DB">
      <w:pPr>
        <w:shd w:fill="ffffff" w:val="clear"/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"_______________________________________________"</w:t>
      </w:r>
    </w:p>
    <w:tbl>
      <w:tblPr>
        <w:tblStyle w:val="Table6"/>
        <w:tblW w:w="9335.0" w:type="dxa"/>
        <w:jc w:val="left"/>
        <w:tblInd w:w="0.0" w:type="dxa"/>
        <w:tblLayout w:type="fixed"/>
        <w:tblLook w:val="0400"/>
      </w:tblPr>
      <w:tblGrid>
        <w:gridCol w:w="1496"/>
        <w:gridCol w:w="633"/>
        <w:gridCol w:w="1780"/>
        <w:gridCol w:w="1238"/>
        <w:gridCol w:w="1238"/>
        <w:gridCol w:w="617"/>
        <w:gridCol w:w="617"/>
        <w:gridCol w:w="906"/>
        <w:gridCol w:w="810"/>
        <w:tblGridChange w:id="0">
          <w:tblGrid>
            <w:gridCol w:w="1496"/>
            <w:gridCol w:w="633"/>
            <w:gridCol w:w="1780"/>
            <w:gridCol w:w="1238"/>
            <w:gridCol w:w="1238"/>
            <w:gridCol w:w="617"/>
            <w:gridCol w:w="617"/>
            <w:gridCol w:w="906"/>
            <w:gridCol w:w="81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Наименование ценной бумаги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Государственный регистрационный номер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Количество сделок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Количество ценных бумаг (шт.)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Цена ценной бумаги (сом.)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Объем сделки (сом.)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max. 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min. 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средняя 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Итого по ценным бумагам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(*)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(*)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(*)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(*)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(*)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(*)</w:t>
            </w:r>
          </w:p>
        </w:tc>
      </w:tr>
    </w:tbl>
    <w:p w:rsidR="00000000" w:rsidDel="00000000" w:rsidP="00000000" w:rsidRDefault="00000000" w:rsidRPr="00000000" w14:paraId="00000100">
      <w:pPr>
        <w:shd w:fill="ffffff" w:val="clear"/>
        <w:spacing w:after="240" w:before="240" w:line="240" w:lineRule="auto"/>
        <w:ind w:firstLine="567"/>
        <w:jc w:val="right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Форма 8</w:t>
      </w:r>
    </w:p>
    <w:p w:rsidR="00000000" w:rsidDel="00000000" w:rsidP="00000000" w:rsidRDefault="00000000" w:rsidRPr="00000000" w14:paraId="00000101">
      <w:pPr>
        <w:shd w:fill="ffffff" w:val="clear"/>
        <w:spacing w:after="200" w:before="20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rtl w:val="0"/>
        </w:rPr>
        <w:t xml:space="preserve">Список</w:t>
        <w:br w:type="textWrapping"/>
        <w:t xml:space="preserve">ценных бумаг, допущенных к обращению через торговую систему фондовой биржи</w:t>
      </w:r>
      <w:r w:rsidDel="00000000" w:rsidR="00000000" w:rsidRPr="00000000">
        <w:rPr>
          <w:rtl w:val="0"/>
        </w:rPr>
      </w:r>
    </w:p>
    <w:tbl>
      <w:tblPr>
        <w:tblStyle w:val="Table7"/>
        <w:tblW w:w="9335.0" w:type="dxa"/>
        <w:jc w:val="left"/>
        <w:tblInd w:w="0.0" w:type="dxa"/>
        <w:tblLayout w:type="fixed"/>
        <w:tblLook w:val="0400"/>
      </w:tblPr>
      <w:tblGrid>
        <w:gridCol w:w="1313"/>
        <w:gridCol w:w="1108"/>
        <w:gridCol w:w="1557"/>
        <w:gridCol w:w="749"/>
        <w:gridCol w:w="749"/>
        <w:gridCol w:w="1216"/>
        <w:gridCol w:w="978"/>
        <w:gridCol w:w="1665"/>
        <w:tblGridChange w:id="0">
          <w:tblGrid>
            <w:gridCol w:w="1313"/>
            <w:gridCol w:w="1108"/>
            <w:gridCol w:w="1557"/>
            <w:gridCol w:w="749"/>
            <w:gridCol w:w="749"/>
            <w:gridCol w:w="1216"/>
            <w:gridCol w:w="978"/>
            <w:gridCol w:w="1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Наименование эмитента, общее количество ценных бумаг в выпуске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Место нахождения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Государственный регистрационный номер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Код ценной бумаги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Вид ценной бумаги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Вид деятельности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Рыночная цена (сом.)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Листинг/нелистинг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12">
      <w:pPr>
        <w:shd w:fill="ffffff" w:val="clear"/>
        <w:spacing w:after="240" w:before="240" w:line="240" w:lineRule="auto"/>
        <w:ind w:firstLine="567"/>
        <w:jc w:val="right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Форма 9</w:t>
      </w:r>
    </w:p>
    <w:p w:rsidR="00000000" w:rsidDel="00000000" w:rsidP="00000000" w:rsidRDefault="00000000" w:rsidRPr="00000000" w14:paraId="00000113">
      <w:pPr>
        <w:shd w:fill="ffffff" w:val="clear"/>
        <w:spacing w:after="200" w:before="20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rtl w:val="0"/>
        </w:rPr>
        <w:t xml:space="preserve">Информация о торгах</w:t>
      </w:r>
      <w:r w:rsidDel="00000000" w:rsidR="00000000" w:rsidRPr="00000000">
        <w:rPr>
          <w:rtl w:val="0"/>
        </w:rPr>
      </w:r>
    </w:p>
    <w:tbl>
      <w:tblPr>
        <w:tblStyle w:val="Table8"/>
        <w:tblW w:w="9334.999999999998" w:type="dxa"/>
        <w:jc w:val="left"/>
        <w:tblInd w:w="0.0" w:type="dxa"/>
        <w:tblLayout w:type="fixed"/>
        <w:tblLook w:val="0400"/>
      </w:tblPr>
      <w:tblGrid>
        <w:gridCol w:w="1960"/>
        <w:gridCol w:w="2707"/>
        <w:gridCol w:w="1587"/>
        <w:gridCol w:w="1587"/>
        <w:gridCol w:w="1494"/>
        <w:tblGridChange w:id="0">
          <w:tblGrid>
            <w:gridCol w:w="1960"/>
            <w:gridCol w:w="2707"/>
            <w:gridCol w:w="1587"/>
            <w:gridCol w:w="1587"/>
            <w:gridCol w:w="1494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Приказы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Код ценной бумаги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Количество ценных бумаг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Покупка (сом.)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Продажа (сом.)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Дата, время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23">
      <w:pPr>
        <w:shd w:fill="ffffff" w:val="clear"/>
        <w:spacing w:after="240" w:before="240" w:line="240" w:lineRule="auto"/>
        <w:ind w:firstLine="567"/>
        <w:jc w:val="right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Форма 10</w:t>
      </w:r>
    </w:p>
    <w:p w:rsidR="00000000" w:rsidDel="00000000" w:rsidP="00000000" w:rsidRDefault="00000000" w:rsidRPr="00000000" w14:paraId="00000124">
      <w:pPr>
        <w:shd w:fill="ffffff" w:val="clear"/>
        <w:spacing w:after="200" w:before="20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rtl w:val="0"/>
        </w:rPr>
        <w:t xml:space="preserve">Значение индекса за торговый день</w:t>
      </w:r>
      <w:r w:rsidDel="00000000" w:rsidR="00000000" w:rsidRPr="00000000">
        <w:rPr>
          <w:rtl w:val="0"/>
        </w:rPr>
      </w:r>
    </w:p>
    <w:tbl>
      <w:tblPr>
        <w:tblStyle w:val="Table9"/>
        <w:tblW w:w="9335.0" w:type="dxa"/>
        <w:jc w:val="left"/>
        <w:tblInd w:w="0.0" w:type="dxa"/>
        <w:tblLayout w:type="fixed"/>
        <w:tblLook w:val="0400"/>
      </w:tblPr>
      <w:tblGrid>
        <w:gridCol w:w="1604"/>
        <w:gridCol w:w="2074"/>
        <w:gridCol w:w="5657"/>
        <w:tblGridChange w:id="0">
          <w:tblGrid>
            <w:gridCol w:w="1604"/>
            <w:gridCol w:w="2074"/>
            <w:gridCol w:w="56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Дата расчета индекса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Значение индекса (пунктов)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Изменения индекса по сравнению с индексом предыдущего торгового дня (в 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60" w:line="240" w:lineRule="auto"/>
        <w:ind w:firstLine="567"/>
        <w:jc w:val="right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rtl w:val="0"/>
        </w:rPr>
        <w:t xml:space="preserve">Форма 1</w:t>
      </w:r>
    </w:p>
    <w:p w:rsidR="00000000" w:rsidDel="00000000" w:rsidP="00000000" w:rsidRDefault="00000000" w:rsidRPr="00000000" w14:paraId="0000012D">
      <w:pPr>
        <w:shd w:fill="ffffff" w:val="clear"/>
        <w:spacing w:after="200" w:before="20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rtl w:val="0"/>
        </w:rPr>
        <w:t xml:space="preserve">Общие сведения</w:t>
        <w:br w:type="textWrapping"/>
        <w:t xml:space="preserve">об акционерах и участниках торгов фондовой биржи</w:t>
      </w:r>
      <w:r w:rsidDel="00000000" w:rsidR="00000000" w:rsidRPr="00000000">
        <w:rPr>
          <w:rtl w:val="0"/>
        </w:rPr>
      </w:r>
    </w:p>
    <w:tbl>
      <w:tblPr>
        <w:tblStyle w:val="Table10"/>
        <w:tblW w:w="9335.0" w:type="dxa"/>
        <w:jc w:val="left"/>
        <w:tblInd w:w="0.0" w:type="dxa"/>
        <w:tblLayout w:type="fixed"/>
        <w:tblLook w:val="0400"/>
      </w:tblPr>
      <w:tblGrid>
        <w:gridCol w:w="322"/>
        <w:gridCol w:w="1238"/>
        <w:gridCol w:w="1237"/>
        <w:gridCol w:w="646"/>
        <w:gridCol w:w="1237"/>
        <w:gridCol w:w="662"/>
        <w:gridCol w:w="722"/>
        <w:gridCol w:w="577"/>
        <w:gridCol w:w="851"/>
        <w:gridCol w:w="1299"/>
        <w:gridCol w:w="544"/>
        <w:tblGridChange w:id="0">
          <w:tblGrid>
            <w:gridCol w:w="322"/>
            <w:gridCol w:w="1238"/>
            <w:gridCol w:w="1237"/>
            <w:gridCol w:w="646"/>
            <w:gridCol w:w="1237"/>
            <w:gridCol w:w="662"/>
            <w:gridCol w:w="722"/>
            <w:gridCol w:w="577"/>
            <w:gridCol w:w="851"/>
            <w:gridCol w:w="1299"/>
            <w:gridCol w:w="54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Полное наименование акционера/участника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Местонахождение акционера/участника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Телефон, факс, 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ФИО руководителя исполнительного органа акционера/участника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Сведения о наличии лицензии акционера/участника торгов фондовой биржи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Вид деятельности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Дата вступления в акционеры/Участники торгов фондовой биржи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Номер лицензии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Орган, выдавший лицензию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Дата выдачи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5A">
      <w:pPr>
        <w:shd w:fill="ffffff" w:val="clear"/>
        <w:spacing w:after="200" w:before="20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200" w:before="20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0"/>
          <w:szCs w:val="20"/>
          <w:rtl w:val="0"/>
        </w:rPr>
        <w:t xml:space="preserve">Показатели, характеризующие финансовое состояние организации</w:t>
      </w:r>
      <w:r w:rsidDel="00000000" w:rsidR="00000000" w:rsidRPr="00000000">
        <w:rPr>
          <w:rtl w:val="0"/>
        </w:rPr>
      </w:r>
    </w:p>
    <w:tbl>
      <w:tblPr>
        <w:tblStyle w:val="Table11"/>
        <w:tblW w:w="9335.0" w:type="dxa"/>
        <w:jc w:val="left"/>
        <w:tblInd w:w="0.0" w:type="dxa"/>
        <w:tblLayout w:type="fixed"/>
        <w:tblLook w:val="0400"/>
      </w:tblPr>
      <w:tblGrid>
        <w:gridCol w:w="417"/>
        <w:gridCol w:w="6554"/>
        <w:gridCol w:w="2364"/>
        <w:tblGridChange w:id="0">
          <w:tblGrid>
            <w:gridCol w:w="417"/>
            <w:gridCol w:w="6554"/>
            <w:gridCol w:w="23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Наименование показателя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b2b2b"/>
                <w:sz w:val="20"/>
                <w:szCs w:val="20"/>
                <w:rtl w:val="0"/>
              </w:rPr>
              <w:t xml:space="preserve">Значение показателя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К1 (собственный капитал)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К2 (отношение привлеченных средств к собственному капиталу)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К3 (эффективность деятельности организации)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К5 (совокупные обязательства)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spacing w:after="60" w:line="240" w:lineRule="auto"/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b2b2b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34343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0"/>
          <w:szCs w:val="20"/>
          <w:rtl w:val="0"/>
        </w:rPr>
        <w:t xml:space="preserve">Председатель правления</w:t>
        <w:tab/>
        <w:tab/>
        <w:tab/>
        <w:tab/>
        <w:tab/>
        <w:t xml:space="preserve">_____________________Шабданов А.С.</w:t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</w:t>
        <w:tab/>
        <w:t xml:space="preserve">          М.П.</w:t>
        <w:tab/>
      </w:r>
    </w:p>
    <w:sectPr>
      <w:headerReference r:id="rId16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Утверждено решением совета директоров №1/1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ОАО «Енвойс Вижион Диджитал Эксчейндж»</w:t>
    </w:r>
  </w:p>
  <w:p w:rsidR="00000000" w:rsidDel="00000000" w:rsidP="00000000" w:rsidRDefault="00000000" w:rsidRPr="00000000" w14:paraId="000001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603D5"/>
    <w:rPr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603D5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0603D5"/>
    <w:rPr>
      <w:lang w:val="ru-RU"/>
    </w:rPr>
  </w:style>
  <w:style w:type="paragraph" w:styleId="a5">
    <w:name w:val="footer"/>
    <w:basedOn w:val="a"/>
    <w:link w:val="a6"/>
    <w:uiPriority w:val="99"/>
    <w:unhideWhenUsed w:val="1"/>
    <w:rsid w:val="000603D5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0603D5"/>
    <w:rPr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bd.minjust.gov.kg/act/view/ru-ru/12634?cl=ru-ru#p5" TargetMode="External"/><Relationship Id="rId10" Type="http://schemas.openxmlformats.org/officeDocument/2006/relationships/hyperlink" Target="http://cbd.minjust.gov.kg/act/view/ru-ru/12634?cl=ru-ru#p5" TargetMode="External"/><Relationship Id="rId13" Type="http://schemas.openxmlformats.org/officeDocument/2006/relationships/hyperlink" Target="http://cbd.minjust.gov.kg/act/view/ru-ru/12634?cl=ru-ru#p5" TargetMode="External"/><Relationship Id="rId12" Type="http://schemas.openxmlformats.org/officeDocument/2006/relationships/hyperlink" Target="http://cbd.minjust.gov.kg/act/view/ru-ru/12634?cl=ru-ru#p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bd.minjust.gov.kg/act/view/ru-ru/12634?cl=ru-ru#p5" TargetMode="External"/><Relationship Id="rId15" Type="http://schemas.openxmlformats.org/officeDocument/2006/relationships/hyperlink" Target="http://cbd.minjust.gov.kg/act/view/ru-ru/12634?cl=ru-ru#p4" TargetMode="External"/><Relationship Id="rId14" Type="http://schemas.openxmlformats.org/officeDocument/2006/relationships/hyperlink" Target="http://cbd.minjust.gov.kg/act/view/ru-ru/12634?cl=ru-ru#p2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cbd.minjust.gov.kg/act/view/ru-ru/12634?cl=ru-ru#p5" TargetMode="External"/><Relationship Id="rId8" Type="http://schemas.openxmlformats.org/officeDocument/2006/relationships/hyperlink" Target="http://cbd.minjust.gov.kg/act/view/ru-ru/12634?cl=ru-ru#p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R/gyCU0YvV+EmWa1EZ6sr49yYw==">AMUW2mX7Rvo8zaggAgtHPQdrwVqbEtzvPiOZPi+yR+V2JhtbVkrWWgxI/v5oYHi0mOMsAk+B8YVJrrbohxo38p7G4v3ZAQ57OT/bsfwNwSHdLIHdvzPW8TY=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2021-12-14T15:14:00Z</dcterms:created>
  <dc:creator>Ниджат Ахмуллаев</dc:creator>
</cp:coreProperties>
</file>