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42" w:firstLine="0"/>
        <w:jc w:val="center"/>
        <w:rPr>
          <w:rFonts w:ascii="Trebuchet MS" w:cs="Trebuchet MS" w:eastAsia="Trebuchet MS" w:hAnsi="Trebuchet MS"/>
          <w:b w:val="1"/>
          <w:sz w:val="18"/>
          <w:szCs w:val="18"/>
          <w:highlight w:val="white"/>
        </w:rPr>
      </w:pPr>
      <w:r w:rsidDel="00000000" w:rsidR="00000000" w:rsidRPr="00000000">
        <w:rPr>
          <w:rFonts w:ascii="Trebuchet MS" w:cs="Trebuchet MS" w:eastAsia="Trebuchet MS" w:hAnsi="Trebuchet MS"/>
          <w:b w:val="1"/>
          <w:sz w:val="18"/>
          <w:szCs w:val="18"/>
          <w:highlight w:val="white"/>
          <w:rtl w:val="0"/>
        </w:rPr>
        <w:t xml:space="preserve">Положение о противодействии манипулированию на рынке ценных бумаг</w:t>
      </w:r>
    </w:p>
    <w:p w:rsidR="00000000" w:rsidDel="00000000" w:rsidP="00000000" w:rsidRDefault="00000000" w:rsidRPr="00000000" w14:paraId="00000002">
      <w:pPr>
        <w:spacing w:after="0" w:line="240" w:lineRule="auto"/>
        <w:ind w:left="142" w:firstLine="0"/>
        <w:jc w:val="center"/>
        <w:rPr>
          <w:rFonts w:ascii="Trebuchet MS" w:cs="Trebuchet MS" w:eastAsia="Trebuchet MS" w:hAnsi="Trebuchet MS"/>
          <w:b w:val="1"/>
          <w:sz w:val="18"/>
          <w:szCs w:val="18"/>
          <w:highlight w:val="white"/>
        </w:rPr>
      </w:pPr>
      <w:r w:rsidDel="00000000" w:rsidR="00000000" w:rsidRPr="00000000">
        <w:rPr>
          <w:rFonts w:ascii="Trebuchet MS" w:cs="Trebuchet MS" w:eastAsia="Trebuchet MS" w:hAnsi="Trebuchet MS"/>
          <w:b w:val="1"/>
          <w:sz w:val="18"/>
          <w:szCs w:val="18"/>
          <w:highlight w:val="white"/>
          <w:rtl w:val="0"/>
        </w:rPr>
        <w:t xml:space="preserve">ОАО «Енвойс Вижион Диджитал Эксчейндж»</w:t>
      </w:r>
    </w:p>
    <w:p w:rsidR="00000000" w:rsidDel="00000000" w:rsidP="00000000" w:rsidRDefault="00000000" w:rsidRPr="00000000" w14:paraId="00000003">
      <w:pPr>
        <w:spacing w:after="0" w:line="240" w:lineRule="auto"/>
        <w:ind w:left="142" w:firstLine="0"/>
        <w:jc w:val="center"/>
        <w:rPr>
          <w:rFonts w:ascii="Trebuchet MS" w:cs="Trebuchet MS" w:eastAsia="Trebuchet MS" w:hAnsi="Trebuchet MS"/>
          <w:b w:val="1"/>
          <w:sz w:val="18"/>
          <w:szCs w:val="18"/>
          <w:highlight w:val="white"/>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Trebuchet MS" w:cs="Trebuchet MS" w:eastAsia="Trebuchet MS" w:hAnsi="Trebuchet MS"/>
          <w:color w:val="343434"/>
          <w:sz w:val="18"/>
          <w:szCs w:val="18"/>
        </w:rPr>
      </w:pPr>
      <w:r w:rsidDel="00000000" w:rsidR="00000000" w:rsidRPr="00000000">
        <w:rPr>
          <w:rFonts w:ascii="Trebuchet MS" w:cs="Trebuchet MS" w:eastAsia="Trebuchet MS" w:hAnsi="Trebuchet MS"/>
          <w:b w:val="1"/>
          <w:color w:val="343434"/>
          <w:sz w:val="18"/>
          <w:szCs w:val="18"/>
          <w:rtl w:val="0"/>
        </w:rPr>
        <w:t xml:space="preserve">   г. Бишкек</w:t>
      </w:r>
      <w:r w:rsidDel="00000000" w:rsidR="00000000" w:rsidRPr="00000000">
        <w:rPr>
          <w:rFonts w:ascii="Trebuchet MS" w:cs="Trebuchet MS" w:eastAsia="Trebuchet MS" w:hAnsi="Trebuchet MS"/>
          <w:color w:val="343434"/>
          <w:sz w:val="18"/>
          <w:szCs w:val="18"/>
          <w:rtl w:val="0"/>
        </w:rPr>
        <w:tab/>
        <w:tab/>
        <w:tab/>
        <w:tab/>
        <w:tab/>
        <w:tab/>
        <w:tab/>
        <w:tab/>
        <w:tab/>
      </w:r>
      <w:r w:rsidDel="00000000" w:rsidR="00000000" w:rsidRPr="00000000">
        <w:rPr>
          <w:rFonts w:ascii="Trebuchet MS" w:cs="Trebuchet MS" w:eastAsia="Trebuchet MS" w:hAnsi="Trebuchet MS"/>
          <w:b w:val="1"/>
          <w:color w:val="343434"/>
          <w:sz w:val="18"/>
          <w:szCs w:val="18"/>
          <w:rtl w:val="0"/>
        </w:rPr>
        <w:t xml:space="preserve">            «___»______2021 г.</w:t>
      </w:r>
      <w:r w:rsidDel="00000000" w:rsidR="00000000" w:rsidRPr="00000000">
        <w:rPr>
          <w:rtl w:val="0"/>
        </w:rPr>
      </w:r>
    </w:p>
    <w:p w:rsidR="00000000" w:rsidDel="00000000" w:rsidP="00000000" w:rsidRDefault="00000000" w:rsidRPr="00000000" w14:paraId="00000005">
      <w:pPr>
        <w:spacing w:after="0" w:line="240" w:lineRule="auto"/>
        <w:ind w:left="142" w:firstLine="0"/>
        <w:jc w:val="center"/>
        <w:rPr>
          <w:rFonts w:ascii="Trebuchet MS" w:cs="Trebuchet MS" w:eastAsia="Trebuchet MS" w:hAnsi="Trebuchet MS"/>
          <w:b w:val="1"/>
          <w:sz w:val="18"/>
          <w:szCs w:val="18"/>
          <w:highlight w:val="white"/>
        </w:rPr>
      </w:pPr>
      <w:r w:rsidDel="00000000" w:rsidR="00000000" w:rsidRPr="00000000">
        <w:rPr>
          <w:rtl w:val="0"/>
        </w:rPr>
      </w:r>
    </w:p>
    <w:p w:rsidR="00000000" w:rsidDel="00000000" w:rsidP="00000000" w:rsidRDefault="00000000" w:rsidRPr="00000000" w14:paraId="00000006">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tl w:val="0"/>
        </w:rPr>
      </w:r>
    </w:p>
    <w:p w:rsidR="00000000" w:rsidDel="00000000" w:rsidP="00000000" w:rsidRDefault="00000000" w:rsidRPr="00000000" w14:paraId="00000007">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1. Манипулированием ценами признаются действия участника (участников) торгов, в том числе объявление приказов на совершение сделок с ценными бумагами, совершение сделок с ценными бумагами, сторонами по которым является одно и то же лицо, которые привели или могли привести к дестабилизации рынков ценных бумаг, в том числе к необусловленному объективными событиями, влияющими на рынок ценных бумаг, изменению цен спроса (предложения) ценных бумаг либо числа приказов (сделок).</w:t>
      </w:r>
    </w:p>
    <w:p w:rsidR="00000000" w:rsidDel="00000000" w:rsidP="00000000" w:rsidRDefault="00000000" w:rsidRPr="00000000" w14:paraId="00000008">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2. Биржа устанавливает следующие меры, направленные на предотвращение манипулирования ценами:</w:t>
      </w:r>
    </w:p>
    <w:p w:rsidR="00000000" w:rsidDel="00000000" w:rsidP="00000000" w:rsidRDefault="00000000" w:rsidRPr="00000000" w14:paraId="00000009">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2.1. Для прямых сделок:</w:t>
      </w:r>
    </w:p>
    <w:p w:rsidR="00000000" w:rsidDel="00000000" w:rsidP="00000000" w:rsidRDefault="00000000" w:rsidRPr="00000000" w14:paraId="0000000A">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2.1.1. Посредничество одного брокера (наличие, у одного брокера договоров – поручений от продавца и покупателя ценных бумаг);</w:t>
      </w:r>
    </w:p>
    <w:p w:rsidR="00000000" w:rsidDel="00000000" w:rsidP="00000000" w:rsidRDefault="00000000" w:rsidRPr="00000000" w14:paraId="0000000B">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2.1.2. Наличие у брокера существенных условий для проведения прямой сделки.</w:t>
      </w:r>
    </w:p>
    <w:p w:rsidR="00000000" w:rsidDel="00000000" w:rsidP="00000000" w:rsidRDefault="00000000" w:rsidRPr="00000000" w14:paraId="0000000C">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2.1.3. Брокер обязан уведомить клиента о возможности совершить сделку путем открытых биржевых торгов;</w:t>
      </w:r>
    </w:p>
    <w:p w:rsidR="00000000" w:rsidDel="00000000" w:rsidP="00000000" w:rsidRDefault="00000000" w:rsidRPr="00000000" w14:paraId="0000000D">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2.1.4. Брокер при заключении договора должен поставить в известность клиента о рыночной цене данных ценных бумаг, действующих на дату заключения договора;</w:t>
      </w:r>
    </w:p>
    <w:p w:rsidR="00000000" w:rsidDel="00000000" w:rsidP="00000000" w:rsidRDefault="00000000" w:rsidRPr="00000000" w14:paraId="0000000E">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2.2. Для рыночных сделок:</w:t>
      </w:r>
    </w:p>
    <w:p w:rsidR="00000000" w:rsidDel="00000000" w:rsidP="00000000" w:rsidRDefault="00000000" w:rsidRPr="00000000" w14:paraId="0000000F">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2.2.1. Сторонами по сделке являются разные участники торгов;</w:t>
      </w:r>
    </w:p>
    <w:p w:rsidR="00000000" w:rsidDel="00000000" w:rsidP="00000000" w:rsidRDefault="00000000" w:rsidRPr="00000000" w14:paraId="00000010">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2.2.2. Меры ответственности, применяемые к Участнику торгов при установлении факта манипулирования ценами последним.</w:t>
      </w:r>
    </w:p>
    <w:p w:rsidR="00000000" w:rsidDel="00000000" w:rsidP="00000000" w:rsidRDefault="00000000" w:rsidRPr="00000000" w14:paraId="00000011">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2.2.3. Система контроля за выставлением заявок Участниками торгов включает следующие действия: контроль за соответствием количества ценных бумаг и денежных средств, находящихся на торговых счетах Участника торгов указанным в заявке с полным обеспечением; контроль за выставлением заявок, которые могут повлечь заключение сделки, продавцом и покупателем по которой выступает один и тот же Участник торгов.</w:t>
      </w:r>
    </w:p>
    <w:p w:rsidR="00000000" w:rsidDel="00000000" w:rsidP="00000000" w:rsidRDefault="00000000" w:rsidRPr="00000000" w14:paraId="00000012">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3. При наличии предположений по поводу совершения Участником торгов действий, направленных на манипулирование ценами, Биржа вправе официально запросить Участника торгов о причинах совершаемых им действий. Участник торгов в течение 5 дней с момента получения указанного запроса обязан предоставить разъяснения по существу запроса.</w:t>
      </w:r>
    </w:p>
    <w:p w:rsidR="00000000" w:rsidDel="00000000" w:rsidP="00000000" w:rsidRDefault="00000000" w:rsidRPr="00000000" w14:paraId="00000013">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4. По результатам рассмотрения ответа на запрос Правление Биржи может принять решение о применении одной из мер ответственности к Участнику торгов с обязательным утверждением данного решения Советом директоров Биржи.</w:t>
      </w:r>
    </w:p>
    <w:p w:rsidR="00000000" w:rsidDel="00000000" w:rsidP="00000000" w:rsidRDefault="00000000" w:rsidRPr="00000000" w14:paraId="00000014">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5. К Участнику торгов может быть применен один из следующих видов ответственности: в случае если факт манипулирования ценами в отношении данного Участника торгов установлен впервые - штраф в размере 10 ММЗП. За каждое повторное нарушение размер штрафа увеличивается на 50%, но не более 50 000 сом. приостановление допуска Участника торгов к торгам на срок до 3 месяцев. прекращение аккредитации Участника торгов на Бирже.</w:t>
      </w:r>
    </w:p>
    <w:p w:rsidR="00000000" w:rsidDel="00000000" w:rsidP="00000000" w:rsidRDefault="00000000" w:rsidRPr="00000000" w14:paraId="00000015">
      <w:pPr>
        <w:spacing w:after="0" w:line="240" w:lineRule="auto"/>
        <w:ind w:left="142" w:firstLine="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6. Размеры штрафов, сроки приостановления допуска Участников торгов к торгам устанавливаются администрацией Биржи с обязательным утверждением Советом директоров.</w:t>
      </w:r>
    </w:p>
    <w:p w:rsidR="00000000" w:rsidDel="00000000" w:rsidP="00000000" w:rsidRDefault="00000000" w:rsidRPr="00000000" w14:paraId="00000016">
      <w:pPr>
        <w:spacing w:after="0" w:line="240" w:lineRule="auto"/>
        <w:ind w:left="142" w:firstLine="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highlight w:val="white"/>
          <w:rtl w:val="0"/>
        </w:rPr>
        <w:t xml:space="preserve">7. Об установлении факта манипулирования ценами Биржа сообщает в государственный надзорный орган.</w:t>
      </w:r>
      <w:r w:rsidDel="00000000" w:rsidR="00000000" w:rsidRPr="00000000">
        <w:rPr>
          <w:rtl w:val="0"/>
        </w:rPr>
      </w:r>
    </w:p>
    <w:p w:rsidR="00000000" w:rsidDel="00000000" w:rsidP="00000000" w:rsidRDefault="00000000" w:rsidRPr="00000000" w14:paraId="00000017">
      <w:pPr>
        <w:spacing w:after="0" w:line="240" w:lineRule="auto"/>
        <w:ind w:left="142" w:firstLine="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Действия, относящиеся к манипулированию рынком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18"/>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 манипулированию рынком относятся следующие действия: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умышленное распространение через средства массовой информации, в том числе через электронные, информационно-телекоммуникационные сети общего пользования (включая сеть Интернет), любым иным способом заведомо ложных сведений, в результате которого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распространения таких сведений; </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совершение операций с финансовым инструментом, иностранной валютой и (или) товаром по предварительному соглашению между участниками торгов и (или) их работниками и (или) лицами, за счет или в интересах которых совершаются указанные операции, в результате которых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таких операций. Настоящий пункт применяется к организованным торгам, операции на которых совершаются на основании заявок, адресованных всем участникам торгов в случае, если информация о лицах, подавших заявки, а также о лицах, в интересах которых были поданы заявки, не раскрывается другим участникам торгов; </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совершение сделок, обязательства сторон по которым исполняются за счет или в интересах одного лица, в результате которых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таких сделок. Настоящий пункт применяется к организованным торгам, сделки на которых заключаются на основании заявок, адресованных всем участникам торгов в случае, если информация о лицах, подавших заявки, а также о лицах, в интересах которых были поданы заявки, не раскрывается другим участникам торгов;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выставление за счет или в интересах одного лица заявок, в результате которого на организованных торгах одновременно появляются две и более заявки противоположной направленности, в которых цена покупки финансового инструмента, иностранной валюты и (или) товара выше цены либо равна цене продажи такого же финансового инструмента, иностранной валюты и (или) товара, в случае, если на основании указанных заявок совершены операции, в результате которых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таких операций. Настоящий пункт применяется к организованным торгам, операции на которых совершаются на основании заявок, адресованных всем участникам торгов в случае, если информация о лицах, подавших такие заявки, а также о лицах, в интересах которых были поданы такие заявки, не раскрывается другим участникам торгов; </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неоднократное в течение торгового дня совершение на организованных торгах сделок за счет или в интересах одного лица на основании заявок, имеющих на момент их выставления наибольшую цену покупки либо наименьшую цену продажи финансового инструмента, иностранной валюты и (или) товара, в результате которых их цена существенно отклонилась от уровня, который сформировался бы без таких сделок , в целях последующего совершения за счет или в интересах того же или иного лица противоположных сделок по таким ценам и последующее совершение таких противоположных сделок; </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неоднократное в течение торгового дня совершение на организованных торгах за счет или в интересах одного лица сделок в целях введения в заблуждение относительно цены финансового инструмента, иностранной валюты и (или) товара, в результате которых цена финансового инструмента, иностранной валюты и (или) товара поддерживалась на уровне, существенно отличающемся от уровня, который сформировался бы без таких сделок; </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неоднократное неисполнение обязательств по операциям, совершенным на организованных торгах без намерения их исполнения, с одними и теми же финансовым инструментом, иностранной валютой и (или) товаром, в результате чего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таких операций. Указанные действия не признаются манипулированием рынком, если обязательства по указанным операциям были прекращены по основаниям, предусмотренным правилами организатора торговли и (или) клиринговой организации.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 являются манипулированием рынком действия, определенные пунктами 8.2. - 8.6. Приложения 6 к Политике, которые направлены: </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 поддержание цен на эмиссионные ценные бумаги в связи с размещением и обращением ценных бумаг и осуществляются участниками торгов в соответствии с договором с эмитентом; </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 поддержание цен в связи с осуществлением выкупа, приобретения акций, погашения инвестиционных паев закрытых паевых инвестиционных фондов в случаях, установленных федеральными законами;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 поддержание цен, спроса, предложения или объема торгов финансовым инструментом, иностранной валютой и (или) товаром и осуществляются участниками торгов в соответствии с договором, одной из сторон которого является организатор торговли.</w:t>
      </w:r>
    </w:p>
    <w:p w:rsidR="00000000" w:rsidDel="00000000" w:rsidP="00000000" w:rsidRDefault="00000000" w:rsidRPr="00000000" w14:paraId="00000024">
      <w:pPr>
        <w:spacing w:after="0" w:line="240" w:lineRule="auto"/>
        <w:jc w:val="both"/>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25">
      <w:pPr>
        <w:spacing w:after="0" w:line="240" w:lineRule="auto"/>
        <w:jc w:val="both"/>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26">
      <w:pPr>
        <w:spacing w:after="0" w:line="240" w:lineRule="auto"/>
        <w:jc w:val="both"/>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27">
      <w:pPr>
        <w:shd w:fill="ffffff" w:val="clear"/>
        <w:spacing w:after="0" w:line="240" w:lineRule="auto"/>
        <w:jc w:val="both"/>
        <w:rPr>
          <w:rFonts w:ascii="Trebuchet MS" w:cs="Trebuchet MS" w:eastAsia="Trebuchet MS" w:hAnsi="Trebuchet MS"/>
          <w:b w:val="1"/>
          <w:color w:val="343434"/>
          <w:sz w:val="18"/>
          <w:szCs w:val="18"/>
        </w:rPr>
      </w:pPr>
      <w:r w:rsidDel="00000000" w:rsidR="00000000" w:rsidRPr="00000000">
        <w:rPr>
          <w:rFonts w:ascii="Trebuchet MS" w:cs="Trebuchet MS" w:eastAsia="Trebuchet MS" w:hAnsi="Trebuchet MS"/>
          <w:b w:val="1"/>
          <w:color w:val="343434"/>
          <w:sz w:val="18"/>
          <w:szCs w:val="18"/>
          <w:rtl w:val="0"/>
        </w:rPr>
        <w:t xml:space="preserve">  Председатель правления</w:t>
        <w:tab/>
        <w:tab/>
        <w:tab/>
        <w:tab/>
        <w:tab/>
        <w:t xml:space="preserve">     ____________________ Шабданов А.С.</w:t>
      </w:r>
    </w:p>
    <w:p w:rsidR="00000000" w:rsidDel="00000000" w:rsidP="00000000" w:rsidRDefault="00000000" w:rsidRPr="00000000" w14:paraId="00000028">
      <w:pPr>
        <w:jc w:val="both"/>
        <w:rPr>
          <w:b w:val="1"/>
        </w:rPr>
      </w:pPr>
      <w:r w:rsidDel="00000000" w:rsidR="00000000" w:rsidRPr="00000000">
        <w:rPr>
          <w:b w:val="1"/>
          <w:rtl w:val="0"/>
        </w:rPr>
        <w:tab/>
        <w:tab/>
        <w:tab/>
        <w:tab/>
        <w:tab/>
        <w:tab/>
        <w:tab/>
        <w:tab/>
        <w:t xml:space="preserve">         </w:t>
        <w:tab/>
        <w:t xml:space="preserve">              М.П.</w:t>
        <w:tab/>
      </w:r>
    </w:p>
    <w:p w:rsidR="00000000" w:rsidDel="00000000" w:rsidP="00000000" w:rsidRDefault="00000000" w:rsidRPr="00000000" w14:paraId="00000029">
      <w:pPr>
        <w:spacing w:after="0" w:line="240" w:lineRule="auto"/>
        <w:jc w:val="both"/>
        <w:rPr>
          <w:rFonts w:ascii="Trebuchet MS" w:cs="Trebuchet MS" w:eastAsia="Trebuchet MS" w:hAnsi="Trebuchet MS"/>
          <w:sz w:val="18"/>
          <w:szCs w:val="18"/>
        </w:rPr>
      </w:pPr>
      <w:r w:rsidDel="00000000" w:rsidR="00000000" w:rsidRPr="00000000">
        <w:rPr>
          <w:rtl w:val="0"/>
        </w:rPr>
      </w:r>
    </w:p>
    <w:sectPr>
      <w:headerReference r:id="rId7" w:type="default"/>
      <w:headerReference r:id="rId8" w:type="first"/>
      <w:footerReference r:id="rId9" w:type="first"/>
      <w:pgSz w:h="16838" w:w="11906" w:orient="portrait"/>
      <w:pgMar w:bottom="1134" w:top="1134"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center" w:pos="4677"/>
        <w:tab w:val="right" w:pos="9355"/>
      </w:tabs>
      <w:spacing w:after="0" w:line="240" w:lineRule="auto"/>
      <w:jc w:val="right"/>
      <w:rPr>
        <w:sz w:val="18"/>
        <w:szCs w:val="18"/>
      </w:rPr>
    </w:pPr>
    <w:r w:rsidDel="00000000" w:rsidR="00000000" w:rsidRPr="00000000">
      <w:rPr>
        <w:sz w:val="18"/>
        <w:szCs w:val="18"/>
        <w:rtl w:val="0"/>
      </w:rPr>
      <w:t xml:space="preserve">Утвержден решением совета директоров №1/1 </w:t>
    </w:r>
  </w:p>
  <w:p w:rsidR="00000000" w:rsidDel="00000000" w:rsidP="00000000" w:rsidRDefault="00000000" w:rsidRPr="00000000" w14:paraId="0000002C">
    <w:pPr>
      <w:tabs>
        <w:tab w:val="center" w:pos="4677"/>
        <w:tab w:val="right" w:pos="9355"/>
      </w:tabs>
      <w:spacing w:after="0" w:line="240" w:lineRule="auto"/>
      <w:jc w:val="right"/>
      <w:rPr>
        <w:sz w:val="18"/>
        <w:szCs w:val="18"/>
      </w:rPr>
    </w:pPr>
    <w:r w:rsidDel="00000000" w:rsidR="00000000" w:rsidRPr="00000000">
      <w:rPr>
        <w:sz w:val="18"/>
        <w:szCs w:val="18"/>
        <w:rtl w:val="0"/>
      </w:rPr>
      <w:t xml:space="preserve">ОАО «Енвойс Вижион Диджитал Эксчейндж»</w:t>
    </w:r>
  </w:p>
  <w:p w:rsidR="00000000" w:rsidDel="00000000" w:rsidP="00000000" w:rsidRDefault="00000000" w:rsidRPr="00000000" w14:paraId="0000002D">
    <w:pPr>
      <w:tabs>
        <w:tab w:val="center" w:pos="4677"/>
        <w:tab w:val="right" w:pos="9355"/>
      </w:tabs>
      <w:spacing w:after="0" w:lin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C67E77"/>
    <w:pPr>
      <w:ind w:left="720"/>
      <w:contextualSpacing w:val="1"/>
    </w:pPr>
  </w:style>
  <w:style w:type="paragraph" w:styleId="a4">
    <w:name w:val="header"/>
    <w:basedOn w:val="a"/>
    <w:link w:val="a5"/>
    <w:uiPriority w:val="99"/>
    <w:unhideWhenUsed w:val="1"/>
    <w:rsid w:val="001F1077"/>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1F1077"/>
  </w:style>
  <w:style w:type="paragraph" w:styleId="a6">
    <w:name w:val="footer"/>
    <w:basedOn w:val="a"/>
    <w:link w:val="a7"/>
    <w:uiPriority w:val="99"/>
    <w:unhideWhenUsed w:val="1"/>
    <w:rsid w:val="001F1077"/>
    <w:pPr>
      <w:tabs>
        <w:tab w:val="center" w:pos="4677"/>
        <w:tab w:val="right" w:pos="9355"/>
      </w:tabs>
      <w:spacing w:after="0" w:line="240" w:lineRule="auto"/>
    </w:pPr>
  </w:style>
  <w:style w:type="character" w:styleId="a7" w:customStyle="1">
    <w:name w:val="Нижний колонтитул Знак"/>
    <w:basedOn w:val="a0"/>
    <w:link w:val="a6"/>
    <w:uiPriority w:val="99"/>
    <w:rsid w:val="001F107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HLFbgawqOdIRYzP/YRP8XJnlQ==">AMUW2mXql7lLFK+cMGu1mGmuA2Fy79isvMxVVoSxF775hTS4XniCVpABlbgwHqMxmG+k2iYFd1TNEJExjUMmLYRyhXwDyHNTxrjKmtbru6nriiLxBQLSrSE=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2021-06-07T12:28:00Z</dcterms:created>
  <dc:creator>Almaz</dc:creator>
</cp:coreProperties>
</file>