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D3C" w:rsidRDefault="00C01D3C">
      <w:pPr>
        <w:rPr>
          <w:b/>
          <w:sz w:val="32"/>
        </w:rPr>
      </w:pPr>
      <w:r w:rsidRPr="00C01D3C">
        <w:rPr>
          <w:b/>
          <w:sz w:val="32"/>
        </w:rPr>
        <w:t>Relatório de Análise Cruzada: PrEP e Início de TARV</w:t>
      </w:r>
    </w:p>
    <w:p w:rsidR="00C01D3C" w:rsidRDefault="00C01D3C">
      <w:pPr>
        <w:rPr>
          <w:b/>
          <w:sz w:val="32"/>
        </w:rPr>
      </w:pPr>
      <w:r>
        <w:rPr>
          <w:b/>
          <w:sz w:val="32"/>
        </w:rPr>
        <w:t>23 de janeiro de 2026</w:t>
      </w:r>
    </w:p>
    <w:p w:rsidR="00C01D3C" w:rsidRDefault="00C01D3C">
      <w:pPr>
        <w:rPr>
          <w:b/>
          <w:sz w:val="32"/>
        </w:rPr>
      </w:pPr>
    </w:p>
    <w:p w:rsidR="00C01D3C" w:rsidRDefault="00C01D3C">
      <w:pPr>
        <w:rPr>
          <w:b/>
          <w:sz w:val="24"/>
        </w:rPr>
      </w:pPr>
      <w:r w:rsidRPr="00C01D3C">
        <w:rPr>
          <w:b/>
          <w:sz w:val="24"/>
        </w:rPr>
        <w:t>1. Resumo Geral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Total de usuários identificados na intersecção entre as bases de PrEP e TARV (PVHA): 7.377 usuários.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O cruzamento foi realizado utilizando o identificador único 'Cod_unificado'.</w:t>
      </w:r>
    </w:p>
    <w:p w:rsidR="00C01D3C" w:rsidRDefault="00C01D3C"/>
    <w:p w:rsidR="00C01D3C" w:rsidRDefault="00C01D3C">
      <w:pPr>
        <w:rPr>
          <w:b/>
          <w:sz w:val="24"/>
        </w:rPr>
      </w:pPr>
      <w:r w:rsidRPr="00C01D3C">
        <w:rPr>
          <w:b/>
          <w:sz w:val="24"/>
        </w:rPr>
        <w:t>2. Classificação Temporal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Analisamos a relação cronológica entre a Última Dispensa de PrEP e a Primeira Dispensa de TARV:</w:t>
      </w:r>
    </w:p>
    <w:p w:rsidR="00C01D3C" w:rsidRDefault="00C01D3C">
      <w:pPr>
        <w:rPr>
          <w:b/>
          <w:sz w:val="24"/>
        </w:rPr>
      </w:pP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A) Conversão Pós-PrEP (Provável Soroconversão após abandono)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Quantidade: 4.838 (65,6% do total)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Definição: A primeira dispensa de TARV ocorreu APÓS a data da última dispensa de PrEP registrada.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Insight: A maioria desses casos (54%) iniciou TARV mais de 1 ano após ter parado a PrEP, sugerindo que o abandono da estratégia precede a infecção em longo prazo.</w:t>
      </w:r>
    </w:p>
    <w:p w:rsidR="00C01D3C" w:rsidRDefault="00C01D3C">
      <w:pPr>
        <w:rPr>
          <w:b/>
          <w:sz w:val="24"/>
        </w:rPr>
      </w:pP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B) Inconsistências (TARV Antes ou Durante a PrEP)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Quantidade: 752 (10,2% do total)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Erro Crítico (TARV anterior à PrEP): 604 casos (8,2%). Usuários com registro de TARV anterior à primeira dispensa de PrEP.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Sobreposição (TARV durante a PrEP): 148 casos (2,0%). Usuários que iniciaram TARV no intervalo entre o início e o fim da PrEP.</w:t>
      </w:r>
    </w:p>
    <w:p w:rsidR="00C01D3C" w:rsidRDefault="00C01D3C">
      <w:pPr>
        <w:rPr>
          <w:b/>
          <w:sz w:val="24"/>
        </w:rPr>
      </w:pP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C) Não Classificados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Quantidade: ~1.787 (24,2%)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Motivo: Datas de dispensa ausentes impediram o cálculo exato.</w:t>
      </w:r>
    </w:p>
    <w:p w:rsidR="00C01D3C" w:rsidRDefault="00C01D3C"/>
    <w:p w:rsidR="00C01D3C" w:rsidRDefault="00C01D3C">
      <w:pPr>
        <w:rPr>
          <w:b/>
          <w:sz w:val="24"/>
        </w:rPr>
      </w:pPr>
      <w:r w:rsidRPr="00C01D3C">
        <w:rPr>
          <w:b/>
          <w:sz w:val="24"/>
        </w:rPr>
        <w:t>3. Distribuição do Tempo (Apenas Grupo Pós-PrEP)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Análise do intervalo em dias entre a Última Dispensa de PrEP e a Primeira Dispensa de TARV (para os 4.838 casos válidos):</w:t>
      </w:r>
    </w:p>
    <w:p w:rsidR="00C01D3C" w:rsidRDefault="00C01D3C">
      <w:pPr>
        <w:rPr>
          <w:b/>
          <w:sz w:val="24"/>
        </w:rPr>
      </w:pP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Estatísticas: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Média: 532 dias (~1 ano e meio)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Mediana: 408 dias</w:t>
      </w:r>
    </w:p>
    <w:p w:rsidR="00C01D3C" w:rsidRDefault="00C01D3C">
      <w:pPr>
        <w:rPr>
          <w:b/>
          <w:sz w:val="24"/>
        </w:rPr>
      </w:pP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Distribuição por Faixas de Tempo: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&lt; 1 mês:       200 (4,1%)  [Alerta: Possível falha de PrEP ou infecção aguda logo após parada]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- 1 a 3 meses:   458 (9,5%)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- 3 a 6 meses:   535 (11,1%)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- 6 a 12 meses: 1.003 (20,7%)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 xml:space="preserve">   - &gt; 1 ano:      2.642 (54,6%) [Maior grupo: Abandono de longo prazo]</w:t>
      </w:r>
    </w:p>
    <w:p w:rsidR="00C01D3C" w:rsidRDefault="00C01D3C"/>
    <w:p w:rsidR="00C01D3C" w:rsidRDefault="00C01D3C">
      <w:pPr>
        <w:rPr>
          <w:b/>
          <w:sz w:val="24"/>
        </w:rPr>
      </w:pPr>
      <w:r w:rsidRPr="00C01D3C">
        <w:rPr>
          <w:b/>
          <w:sz w:val="24"/>
        </w:rPr>
        <w:t>4. Conclusão</w:t>
      </w:r>
    </w:p>
    <w:p w:rsidR="00C01D3C" w:rsidRDefault="00C01D3C">
      <w:pPr>
        <w:rPr>
          <w:b/>
          <w:sz w:val="24"/>
        </w:rPr>
      </w:pPr>
      <w:r>
        <w:rPr>
          <w:b/>
          <w:sz w:val="24"/>
        </w:rPr>
        <w:t>O padrão predominante indica que a soroconversão ocorre majoritariamente em indivíduos que abandonaram a PrEP há um tempo considerável (mais de 1 ano). Isso reforça que o desafio principal é a retenção e o reengajamento de usuários que deixam de buscar a profilaxia. As possíveis 'falhas' agudas ou infecções imediatas após a parada (menos de 1 mês) representam uma minoria pequena (~4%) dos casos.</w:t>
      </w:r>
    </w:p>
    <w:p w:rsidR="00C01D3C" w:rsidRDefault="00C01D3C"/>
    <w:p w:rsidR="00C01D3C" w:rsidRPr="00C01D3C" w:rsidRDefault="00C01D3C"/>
    <w:sectPr w:rsidR="00C01D3C" w:rsidRPr="00C01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3C"/>
    <w:rsid w:val="00093318"/>
    <w:rsid w:val="001B6817"/>
    <w:rsid w:val="008C4F3F"/>
    <w:rsid w:val="00900656"/>
    <w:rsid w:val="00C01D3C"/>
    <w:rsid w:val="00D7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D2EEF-E482-4B73-AF5F-DE4FA1BC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D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D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D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D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Monitoramento BI - DCCI</dc:creator>
  <cp:keywords/>
  <dc:description/>
  <cp:lastModifiedBy>Monitoramento BI - DCCI</cp:lastModifiedBy>
  <cp:revision>1</cp:revision>
  <dcterms:created xsi:type="dcterms:W3CDTF">2026-01-23T20:30:00Z</dcterms:created>
  <dcterms:modified xsi:type="dcterms:W3CDTF">2026-01-23T20:30:00Z</dcterms:modified>
</cp:coreProperties>
</file>